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outlineLvl w:val="0"/>
        <w:rPr>
          <w:rFonts w:ascii="黑体" w:hAnsi="黑体" w:eastAsia="黑体"/>
          <w:sz w:val="32"/>
          <w:szCs w:val="32"/>
        </w:rPr>
      </w:pPr>
      <w:r>
        <w:rPr>
          <w:rFonts w:hint="eastAsia" w:ascii="黑体" w:hAnsi="黑体" w:eastAsia="黑体"/>
          <w:sz w:val="32"/>
          <w:szCs w:val="32"/>
        </w:rPr>
        <w:t>附件1</w:t>
      </w:r>
    </w:p>
    <w:p>
      <w:pPr>
        <w:spacing w:line="220" w:lineRule="atLeast"/>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keepNext w:val="0"/>
        <w:keepLines w:val="0"/>
        <w:pageBreakBefore w:val="0"/>
        <w:widowControl/>
        <w:numPr>
          <w:ilvl w:val="0"/>
          <w:numId w:val="1"/>
        </w:numPr>
        <w:kinsoku/>
        <w:wordWrap/>
        <w:overflowPunct/>
        <w:topLinePunct w:val="0"/>
        <w:autoSpaceDE/>
        <w:autoSpaceDN/>
        <w:bidi w:val="0"/>
        <w:adjustRightInd w:val="0"/>
        <w:snapToGrid w:val="0"/>
        <w:spacing w:line="640" w:lineRule="exact"/>
        <w:ind w:left="680" w:leftChars="0" w:firstLine="640" w:firstLineChars="0"/>
        <w:textAlignment w:val="auto"/>
        <w:outlineLvl w:val="0"/>
        <w:rPr>
          <w:rFonts w:hint="eastAsia" w:ascii="黑体" w:eastAsia="黑体" w:cs="黑体"/>
          <w:color w:val="000000"/>
          <w:sz w:val="32"/>
          <w:szCs w:val="32"/>
        </w:rPr>
      </w:pPr>
      <w:r>
        <w:rPr>
          <w:rFonts w:hint="eastAsia" w:ascii="黑体" w:eastAsia="黑体" w:cs="黑体"/>
          <w:color w:val="000000"/>
          <w:sz w:val="32"/>
          <w:szCs w:val="32"/>
          <w:lang w:eastAsia="zh-CN"/>
        </w:rPr>
        <w:t>餐饮食品</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ascii="楷体" w:hAnsi="楷体" w:eastAsia="楷体"/>
          <w:b/>
          <w:sz w:val="32"/>
          <w:szCs w:val="32"/>
        </w:rPr>
      </w:pPr>
      <w:r>
        <w:rPr>
          <w:rFonts w:hint="eastAsia" w:ascii="楷体" w:hAnsi="楷体" w:eastAsia="楷体"/>
          <w:b/>
          <w:sz w:val="32"/>
          <w:szCs w:val="32"/>
        </w:rPr>
        <w:t>（一）抽检依据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楷体" w:hAnsi="楷体" w:eastAsia="楷体"/>
          <w:b/>
          <w:sz w:val="32"/>
          <w:szCs w:val="32"/>
        </w:rPr>
      </w:pPr>
      <w:r>
        <w:rPr>
          <w:rFonts w:hint="eastAsia" w:ascii="仿宋_GB2312" w:hAnsi="黑体" w:eastAsia="仿宋_GB2312"/>
          <w:sz w:val="32"/>
          <w:szCs w:val="32"/>
        </w:rPr>
        <w:t>抽检依据GB 14934-2016《食品安全国家标准 消毒餐(饮)具》</w:t>
      </w:r>
      <w:r>
        <w:rPr>
          <w:rFonts w:hint="eastAsia" w:ascii="仿宋_GB2312" w:hAnsi="黑体" w:eastAsia="仿宋_GB2312"/>
          <w:color w:val="auto"/>
          <w:sz w:val="32"/>
          <w:szCs w:val="32"/>
        </w:rPr>
        <w:t>标准和指标的要求。</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黑体" w:eastAsia="黑体" w:cs="黑体"/>
          <w:color w:val="000000"/>
          <w:sz w:val="32"/>
          <w:szCs w:val="32"/>
        </w:rPr>
      </w:pPr>
      <w:r>
        <w:rPr>
          <w:rFonts w:hint="eastAsia" w:ascii="楷体" w:hAnsi="楷体" w:eastAsia="楷体"/>
          <w:b/>
          <w:sz w:val="32"/>
          <w:szCs w:val="32"/>
        </w:rPr>
        <w:t>（二）检验项目</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640" w:lineRule="exact"/>
        <w:ind w:left="0" w:leftChars="0" w:firstLine="640" w:firstLineChars="200"/>
        <w:jc w:val="both"/>
        <w:textAlignment w:val="auto"/>
        <w:rPr>
          <w:rFonts w:hint="default"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复用餐饮具(餐馆自行消毒)的抽检项目包括大肠菌群</w:t>
      </w:r>
      <w:r>
        <w:rPr>
          <w:rFonts w:hint="eastAsia" w:ascii="仿宋_GB2312" w:hAnsi="黑体" w:eastAsia="仿宋_GB2312"/>
          <w:kern w:val="0"/>
          <w:sz w:val="32"/>
          <w:szCs w:val="32"/>
          <w:lang w:val="en-US" w:eastAsia="zh-CN"/>
        </w:rPr>
        <w:t>、阴离子合成洗涤剂(以十二烷基苯磺酸钠计)；</w:t>
      </w:r>
    </w:p>
    <w:p>
      <w:pPr>
        <w:keepNext w:val="0"/>
        <w:keepLines w:val="0"/>
        <w:pageBreakBefore w:val="0"/>
        <w:widowControl/>
        <w:numPr>
          <w:ilvl w:val="0"/>
          <w:numId w:val="1"/>
        </w:numPr>
        <w:kinsoku/>
        <w:wordWrap/>
        <w:overflowPunct/>
        <w:topLinePunct w:val="0"/>
        <w:autoSpaceDE/>
        <w:autoSpaceDN/>
        <w:bidi w:val="0"/>
        <w:adjustRightInd w:val="0"/>
        <w:snapToGrid w:val="0"/>
        <w:spacing w:line="640" w:lineRule="exact"/>
        <w:ind w:left="680" w:leftChars="0" w:firstLine="640" w:firstLineChars="0"/>
        <w:textAlignment w:val="auto"/>
        <w:outlineLvl w:val="0"/>
        <w:rPr>
          <w:rFonts w:hint="eastAsia" w:ascii="黑体" w:eastAsia="黑体" w:cs="黑体"/>
          <w:color w:val="000000"/>
          <w:sz w:val="32"/>
          <w:szCs w:val="32"/>
        </w:rPr>
      </w:pPr>
      <w:r>
        <w:rPr>
          <w:rFonts w:hint="eastAsia" w:ascii="黑体" w:eastAsia="黑体" w:cs="黑体"/>
          <w:color w:val="000000"/>
          <w:sz w:val="32"/>
          <w:szCs w:val="32"/>
          <w:lang w:eastAsia="zh-CN"/>
        </w:rPr>
        <w:t>蔬菜制品</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楷体" w:hAnsi="楷体" w:eastAsia="楷体"/>
          <w:b/>
          <w:sz w:val="32"/>
          <w:szCs w:val="32"/>
        </w:rPr>
      </w:pPr>
      <w:r>
        <w:rPr>
          <w:rFonts w:hint="eastAsia" w:ascii="仿宋_GB2312" w:hAnsi="黑体" w:eastAsia="仿宋_GB2312"/>
          <w:sz w:val="32"/>
          <w:szCs w:val="32"/>
        </w:rPr>
        <w:t>抽检依据</w:t>
      </w:r>
      <w:r>
        <w:rPr>
          <w:rFonts w:hint="eastAsia" w:ascii="仿宋_GB2312" w:hAnsi="黑体" w:eastAsia="仿宋_GB2312"/>
          <w:sz w:val="32"/>
          <w:szCs w:val="32"/>
          <w:lang w:eastAsia="zh-CN"/>
        </w:rPr>
        <w:t>GB 2760-2014《食品安全国家标准 食品添加剂使用标准》</w:t>
      </w:r>
      <w:r>
        <w:rPr>
          <w:rFonts w:hint="eastAsia" w:ascii="仿宋_GB2312" w:hAnsi="黑体" w:eastAsia="仿宋_GB2312"/>
          <w:color w:val="auto"/>
          <w:sz w:val="32"/>
          <w:szCs w:val="32"/>
        </w:rPr>
        <w:t>标准和指标的要求。</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（二）</w:t>
      </w:r>
      <w:r>
        <w:rPr>
          <w:rFonts w:hint="eastAsia" w:ascii="楷体" w:hAnsi="楷体" w:eastAsia="楷体"/>
          <w:b/>
          <w:sz w:val="32"/>
          <w:szCs w:val="32"/>
        </w:rPr>
        <w:t>检验项目</w:t>
      </w:r>
    </w:p>
    <w:p>
      <w:pPr>
        <w:keepNext w:val="0"/>
        <w:keepLines w:val="0"/>
        <w:pageBreakBefore w:val="0"/>
        <w:widowControl/>
        <w:numPr>
          <w:ilvl w:val="0"/>
          <w:numId w:val="3"/>
        </w:numPr>
        <w:kinsoku/>
        <w:wordWrap/>
        <w:overflowPunct/>
        <w:topLinePunct w:val="0"/>
        <w:autoSpaceDE/>
        <w:autoSpaceDN/>
        <w:bidi w:val="0"/>
        <w:adjustRightInd w:val="0"/>
        <w:snapToGrid w:val="0"/>
        <w:spacing w:after="200" w:line="640" w:lineRule="exact"/>
        <w:ind w:left="0" w:leftChars="0" w:firstLine="640" w:firstLineChars="200"/>
        <w:jc w:val="both"/>
        <w:textAlignment w:val="auto"/>
        <w:rPr>
          <w:rFonts w:hint="default"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糕点的抽检项目包括苯甲酸及其钠盐(以苯甲酸计)、菌落总数、山梨酸及其钾盐(以山梨酸计)、糖精钠(以糖精计)</w:t>
      </w:r>
      <w:r>
        <w:rPr>
          <w:rFonts w:hint="eastAsia" w:ascii="仿宋_GB2312" w:hAnsi="黑体" w:eastAsia="仿宋_GB2312"/>
          <w:kern w:val="0"/>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after="200" w:line="640" w:lineRule="exact"/>
        <w:ind w:left="0" w:leftChars="0" w:firstLine="640" w:firstLineChars="200"/>
        <w:jc w:val="both"/>
        <w:textAlignment w:val="auto"/>
        <w:rPr>
          <w:rFonts w:hint="default"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月饼的抽检项目包括苯甲酸及其钠盐(以苯甲酸计)、菌落总数、山梨酸及其钾盐(以山梨酸计)、糖精钠(以糖精计)</w:t>
      </w:r>
      <w:r>
        <w:rPr>
          <w:rFonts w:hint="eastAsia" w:ascii="仿宋_GB2312" w:hAnsi="黑体" w:eastAsia="仿宋_GB2312"/>
          <w:kern w:val="0"/>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640" w:lineRule="exact"/>
        <w:ind w:left="680" w:leftChars="0" w:firstLine="640" w:firstLineChars="0"/>
        <w:textAlignment w:val="auto"/>
        <w:outlineLvl w:val="0"/>
        <w:rPr>
          <w:rFonts w:hint="eastAsia" w:ascii="黑体" w:eastAsia="黑体" w:cs="黑体"/>
          <w:color w:val="000000"/>
          <w:sz w:val="32"/>
          <w:szCs w:val="32"/>
        </w:rPr>
      </w:pPr>
      <w:r>
        <w:rPr>
          <w:rFonts w:hint="eastAsia" w:ascii="黑体" w:eastAsia="黑体" w:cs="黑体"/>
          <w:color w:val="000000"/>
          <w:sz w:val="32"/>
          <w:szCs w:val="32"/>
          <w:lang w:eastAsia="zh-CN"/>
        </w:rPr>
        <w:t>食用农产品</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rPr>
          <w:rFonts w:hint="eastAsia" w:ascii="楷体" w:hAnsi="楷体" w:eastAsia="楷体"/>
          <w:b/>
          <w:sz w:val="32"/>
          <w:szCs w:val="32"/>
        </w:rPr>
      </w:pPr>
      <w:r>
        <w:rPr>
          <w:rFonts w:hint="eastAsia" w:ascii="仿宋_GB2312" w:hAnsi="黑体" w:eastAsia="仿宋_GB2312"/>
          <w:sz w:val="32"/>
          <w:szCs w:val="32"/>
        </w:rPr>
        <w:t>抽检依据GB 19300-2014《食品安全国家标准 坚果与籽类食品》</w:t>
      </w:r>
      <w:r>
        <w:rPr>
          <w:rFonts w:hint="eastAsia" w:ascii="仿宋_GB2312" w:hAnsi="黑体" w:eastAsia="仿宋_GB2312"/>
          <w:sz w:val="32"/>
          <w:szCs w:val="32"/>
          <w:lang w:eastAsia="zh-CN"/>
        </w:rPr>
        <w:t>、GB 22556-2008《豆芽卫生标准》、GB 2761-2017《食品安全国家标准 食品中真菌毒素限量》、GB 2762-2017《食品安全国家标准 食品中污染物限量》、GB 2763-2021《食品安全国家标准 食品中农药最大残留限量》、国家食品药品监督管理总局农业部国家卫生和计划生育委员会关于豆芽生产过程中禁止使用6-苄基腺嘌呤等物质的公告(2015年第11号)</w:t>
      </w:r>
      <w:r>
        <w:rPr>
          <w:rFonts w:hint="eastAsia" w:ascii="仿宋_GB2312" w:hAnsi="黑体" w:eastAsia="仿宋_GB2312"/>
          <w:color w:val="auto"/>
          <w:sz w:val="32"/>
          <w:szCs w:val="32"/>
        </w:rPr>
        <w:t>标准和指标的要求。</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（二）</w:t>
      </w:r>
      <w:r>
        <w:rPr>
          <w:rFonts w:hint="eastAsia" w:ascii="楷体" w:hAnsi="楷体" w:eastAsia="楷体"/>
          <w:b/>
          <w:sz w:val="32"/>
          <w:szCs w:val="32"/>
        </w:rPr>
        <w:t>检验项目</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菠菜的抽检项目包括毒死蜱、甲拌磷、氧乐果；</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豆芽的抽检项目包括4-氯苯氧乙酸钠(以4-氯苯氧乙酸计)、6-苄基腺嘌呤(6-BA)、铅(以Pb计)、亚硫酸盐(以SO₂计)；</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豇豆的抽检项目包括甲胺磷、甲拌磷、克百威、灭蝇胺；</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韭菜的抽检项目包括敌敌畏、啶虫脒、毒死蜱、腐霉利、甲拌磷；</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麦芹的抽检项目包括敌敌畏、毒死蜱、甲拌磷、甲基异柳磷、克百威；</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生干籽类的抽检项目包括镉(以Cd计)、过氧化值(以脂肪计)、黄曲霉毒素B₁、酸价(以脂肪计)(KOH)；</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香蕉的抽检项目包括苯醚甲环唑、吡虫啉、吡唑醚菌酯、腈苯唑。</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油麦菜的抽检项目包括毒死蜱、阿维菌素、敌敌畏、三氯杀螨醇、氯氰菊酯和高效氯氰菊酯、吡虫啉、倍硫磷、啶虫脒等15类农药残留。</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包菜的抽检项目包括镉（以Cd计）、克百威、乙酰甲胺磷林、涕灭威、甲胺磷、甲基异柳磷、啶虫脒等15类农药残留。</w:t>
      </w:r>
    </w:p>
    <w:p>
      <w:pPr>
        <w:keepNext w:val="0"/>
        <w:keepLines w:val="0"/>
        <w:pageBreakBefore w:val="0"/>
        <w:widowControl/>
        <w:numPr>
          <w:ilvl w:val="0"/>
          <w:numId w:val="4"/>
        </w:numPr>
        <w:kinsoku/>
        <w:wordWrap/>
        <w:overflowPunct/>
        <w:topLinePunct w:val="0"/>
        <w:autoSpaceDE/>
        <w:autoSpaceDN/>
        <w:bidi w:val="0"/>
        <w:adjustRightInd w:val="0"/>
        <w:snapToGrid w:val="0"/>
        <w:spacing w:line="640" w:lineRule="exact"/>
        <w:ind w:left="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生姜的抽检包括甲胺磷、水胺硫磷、噻虫胺、毒死蜱、噻虫嗪、铅等16类农药残留。</w:t>
      </w:r>
    </w:p>
    <w:p>
      <w:pPr>
        <w:keepNext w:val="0"/>
        <w:keepLines w:val="0"/>
        <w:pageBreakBefore w:val="0"/>
        <w:widowControl/>
        <w:numPr>
          <w:ilvl w:val="0"/>
          <w:numId w:val="1"/>
        </w:numPr>
        <w:tabs>
          <w:tab w:val="left" w:pos="378"/>
        </w:tabs>
        <w:kinsoku/>
        <w:wordWrap/>
        <w:overflowPunct/>
        <w:topLinePunct w:val="0"/>
        <w:autoSpaceDE/>
        <w:autoSpaceDN/>
        <w:bidi w:val="0"/>
        <w:adjustRightInd w:val="0"/>
        <w:snapToGrid w:val="0"/>
        <w:spacing w:line="520" w:lineRule="exact"/>
        <w:ind w:left="680" w:leftChars="0" w:firstLine="640" w:firstLineChars="0"/>
        <w:textAlignment w:val="auto"/>
        <w:rPr>
          <w:rFonts w:hint="eastAsia" w:eastAsia="黑体" w:cs="黑体"/>
          <w:sz w:val="32"/>
          <w:szCs w:val="32"/>
          <w:lang w:val="en-US" w:eastAsia="zh-CN"/>
        </w:rPr>
      </w:pPr>
      <w:r>
        <w:rPr>
          <w:rFonts w:hint="eastAsia" w:eastAsia="黑体" w:cs="黑体"/>
          <w:sz w:val="32"/>
          <w:szCs w:val="32"/>
          <w:lang w:val="en-US" w:eastAsia="zh-CN"/>
        </w:rPr>
        <w:t>调味面制品</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rPr>
      </w:pPr>
      <w:r>
        <w:rPr>
          <w:rFonts w:hint="eastAsia" w:ascii="楷体" w:hAnsi="楷体" w:eastAsia="楷体"/>
          <w:b/>
          <w:sz w:val="32"/>
          <w:szCs w:val="32"/>
          <w:lang w:eastAsia="zh-CN"/>
        </w:rPr>
        <w:t>（一）</w:t>
      </w:r>
      <w:r>
        <w:rPr>
          <w:rFonts w:hint="eastAsia" w:ascii="楷体" w:hAnsi="楷体" w:eastAsia="楷体"/>
          <w:b/>
          <w:sz w:val="32"/>
          <w:szCs w:val="32"/>
        </w:rPr>
        <w:t>抽检依据</w:t>
      </w:r>
    </w:p>
    <w:p>
      <w:pPr>
        <w:keepNext w:val="0"/>
        <w:keepLines w:val="0"/>
        <w:pageBreakBefore w:val="0"/>
        <w:widowControl/>
        <w:numPr>
          <w:numId w:val="0"/>
        </w:numPr>
        <w:tabs>
          <w:tab w:val="left" w:pos="378"/>
        </w:tabs>
        <w:kinsoku/>
        <w:wordWrap/>
        <w:overflowPunct/>
        <w:topLinePunct w:val="0"/>
        <w:autoSpaceDE/>
        <w:autoSpaceDN/>
        <w:bidi w:val="0"/>
        <w:adjustRightInd w:val="0"/>
        <w:snapToGrid w:val="0"/>
        <w:spacing w:line="520" w:lineRule="exact"/>
        <w:ind w:left="42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抽检依据GB 5009.121-2016《食品安全国家标准 食品中脱氢乙酸的测定》，GB 2760-2014《食品安全国家标准 食品添加剂使用标准》，GB5009.229-2016《食品安全国家标准 食品中酸价的测定》，GB 5009.227-2016《食品安全国家标准 食品中过氧化值的测定》，GB2225-2014《食品安全国家标准 食品中三氯蔗糖（蔗糖素）的测定》，GB/T4789.3-2003《食品卫生微生物学检验 大肠菌群测定》。</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（二）抽检项目</w:t>
      </w:r>
    </w:p>
    <w:p>
      <w:pPr>
        <w:keepNext w:val="0"/>
        <w:keepLines w:val="0"/>
        <w:pageBreakBefore w:val="0"/>
        <w:widowControl/>
        <w:numPr>
          <w:numId w:val="0"/>
        </w:numPr>
        <w:tabs>
          <w:tab w:val="left" w:pos="378"/>
        </w:tabs>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原味素板筋的抽检项目包括脱氢乙酸、酸价、过氧化值、三氯蔗糖、大肠菌群。</w:t>
      </w:r>
    </w:p>
    <w:p>
      <w:pPr>
        <w:keepNext w:val="0"/>
        <w:keepLines w:val="0"/>
        <w:pageBreakBefore w:val="0"/>
        <w:widowControl/>
        <w:numPr>
          <w:ilvl w:val="0"/>
          <w:numId w:val="0"/>
        </w:numPr>
        <w:tabs>
          <w:tab w:val="left" w:pos="378"/>
        </w:tabs>
        <w:kinsoku/>
        <w:wordWrap/>
        <w:overflowPunct/>
        <w:topLinePunct w:val="0"/>
        <w:autoSpaceDE/>
        <w:autoSpaceDN/>
        <w:bidi w:val="0"/>
        <w:adjustRightInd w:val="0"/>
        <w:snapToGrid w:val="0"/>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龙卷风的抽检项目包括脱氢乙酸、酸价、过氧化值、三氯蔗糖、大肠菌群。</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outlineLvl w:val="1"/>
        <w:rPr>
          <w:rFonts w:hint="eastAsia" w:ascii="楷体" w:hAnsi="楷体" w:eastAsia="楷体"/>
          <w:b/>
          <w:sz w:val="32"/>
          <w:szCs w:val="32"/>
          <w:lang w:val="en-US" w:eastAsia="zh-CN"/>
        </w:rPr>
      </w:pPr>
      <w:r>
        <w:rPr>
          <w:rFonts w:hint="eastAsia" w:eastAsia="黑体" w:cs="黑体"/>
          <w:sz w:val="32"/>
          <w:szCs w:val="32"/>
        </w:rPr>
        <w:t>五、食用油</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（一）抽检依据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eastAsia="仿宋_GB2312" w:cs="仿宋_GB2312"/>
          <w:sz w:val="32"/>
          <w:szCs w:val="32"/>
        </w:rPr>
        <w:t>抽检依</w:t>
      </w:r>
      <w:r>
        <w:rPr>
          <w:rFonts w:hint="eastAsia" w:ascii="仿宋_GB2312" w:hAnsi="仿宋_GB2312" w:eastAsia="仿宋_GB2312" w:cs="仿宋_GB2312"/>
          <w:sz w:val="32"/>
          <w:szCs w:val="32"/>
        </w:rPr>
        <w:t>据是GB 2762-2017《食品安全国家标准 食品中污染物限量》，GB 2716-2018《食品安全国家标准 植物油》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GB/T1536-2021《菜籽油》，GB5009.262-2016《食品安全国家标准 食品中溶剂残留量的测定》，GB  5009.229-2016《食品安全国家标准 食品中酸价的测定》，GB 2760-2014《食品安全国家》</w:t>
      </w:r>
      <w:r>
        <w:rPr>
          <w:rFonts w:hint="eastAsia" w:ascii="仿宋_GB2312" w:hAnsi="仿宋_GB2312" w:eastAsia="仿宋_GB2312" w:cs="仿宋_GB2312"/>
          <w:sz w:val="32"/>
          <w:szCs w:val="32"/>
        </w:rPr>
        <w:t>等标准</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（二）抽检项目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菜籽油的抽检项目包括</w:t>
      </w:r>
      <w:r>
        <w:rPr>
          <w:rFonts w:hint="eastAsia" w:ascii="仿宋_GB2312" w:hAnsi="仿宋_GB2312" w:eastAsia="仿宋_GB2312" w:cs="仿宋_GB2312"/>
          <w:sz w:val="32"/>
          <w:szCs w:val="32"/>
          <w:lang w:eastAsia="zh-CN"/>
        </w:rPr>
        <w:t>溶剂残留量、</w:t>
      </w:r>
      <w:r>
        <w:rPr>
          <w:rFonts w:hint="eastAsia" w:ascii="仿宋_GB2312" w:hAnsi="仿宋_GB2312" w:eastAsia="仿宋_GB2312" w:cs="仿宋_GB2312"/>
          <w:sz w:val="32"/>
          <w:szCs w:val="32"/>
        </w:rPr>
        <w:t>苯并芘、酸价、过氧化值</w:t>
      </w:r>
      <w:r>
        <w:rPr>
          <w:rFonts w:hint="eastAsia" w:ascii="仿宋_GB2312" w:hAnsi="仿宋_GB2312" w:eastAsia="仿宋_GB2312" w:cs="仿宋_GB2312"/>
          <w:sz w:val="32"/>
          <w:szCs w:val="32"/>
          <w:lang w:eastAsia="zh-CN"/>
        </w:rPr>
        <w:t>、乙基麦芽酚</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黑体" w:cs="黑体"/>
          <w:sz w:val="32"/>
          <w:szCs w:val="32"/>
          <w:lang w:val="en-US" w:eastAsia="zh-CN"/>
        </w:rPr>
      </w:pPr>
      <w:r>
        <w:rPr>
          <w:rFonts w:hint="eastAsia" w:eastAsia="黑体" w:cs="黑体"/>
          <w:sz w:val="32"/>
          <w:szCs w:val="32"/>
          <w:lang w:val="en-US" w:eastAsia="zh-CN"/>
        </w:rPr>
        <w:t>六、果冻</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（一）抽检依据</w:t>
      </w:r>
    </w:p>
    <w:p>
      <w:pPr>
        <w:keepNext w:val="0"/>
        <w:keepLines w:val="0"/>
        <w:pageBreakBefore w:val="0"/>
        <w:widowControl/>
        <w:numPr>
          <w:numId w:val="0"/>
        </w:numPr>
        <w:kinsoku/>
        <w:wordWrap/>
        <w:overflowPunct/>
        <w:topLinePunct w:val="0"/>
        <w:autoSpaceDE/>
        <w:autoSpaceDN/>
        <w:bidi w:val="0"/>
        <w:adjustRightInd w:val="0"/>
        <w:snapToGrid w:val="0"/>
        <w:spacing w:after="200" w:line="640" w:lineRule="exact"/>
        <w:ind w:left="42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5009.28-2016《食品安全国家标准 食品中苯甲酸、三梨酸和糖精钠的测定》，GB2760-2014《食品安全国家标准 食品添加剂使用标准》，GB5009.97-2016《食品安全国家标准 食品中环已基氨基磺酸钠的测定》，GB4789.2-2016《食品安全国家标准 食品微生物学检验 菌落总数测定》，GB 19299-2015《食品安全国家标准 果冻》。</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（二）抽检项目</w:t>
      </w:r>
    </w:p>
    <w:p>
      <w:pPr>
        <w:keepNext w:val="0"/>
        <w:keepLines w:val="0"/>
        <w:pageBreakBefore w:val="0"/>
        <w:widowControl/>
        <w:numPr>
          <w:numId w:val="0"/>
        </w:numPr>
        <w:kinsoku/>
        <w:wordWrap/>
        <w:overflowPunct/>
        <w:topLinePunct w:val="0"/>
        <w:autoSpaceDE/>
        <w:autoSpaceDN/>
        <w:bidi w:val="0"/>
        <w:adjustRightInd w:val="0"/>
        <w:snapToGrid w:val="0"/>
        <w:spacing w:after="200" w:line="640" w:lineRule="exact"/>
        <w:ind w:left="42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椰板的抽检项目包括苯甲酸及其钠盐（以苯甲酸计）、山梨酸及其钾盐（以山梨酸计）、糖精钠（以糖精计）、甜蜜素（以环已基氨基磺酸计）、菌落总数。</w:t>
      </w:r>
    </w:p>
    <w:p>
      <w:pPr>
        <w:keepNext w:val="0"/>
        <w:keepLines w:val="0"/>
        <w:pageBreakBefore w:val="0"/>
        <w:widowControl/>
        <w:numPr>
          <w:numId w:val="0"/>
        </w:numPr>
        <w:kinsoku/>
        <w:wordWrap/>
        <w:overflowPunct/>
        <w:topLinePunct w:val="0"/>
        <w:autoSpaceDE/>
        <w:autoSpaceDN/>
        <w:bidi w:val="0"/>
        <w:adjustRightInd w:val="0"/>
        <w:snapToGrid w:val="0"/>
        <w:spacing w:after="200" w:line="640" w:lineRule="exact"/>
        <w:ind w:left="42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爆珠托肥的抽检项目包括苯甲酸及其钠盐（以苯甲酸计）、山梨酸及其钾盐（以山梨酸计）、糖精钠（以糖精计）、甜蜜素（以环已基氨基磺酸计）、菌落总数。</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eastAsia="黑体" w:cs="黑体"/>
          <w:sz w:val="32"/>
          <w:szCs w:val="32"/>
          <w:lang w:val="en-US" w:eastAsia="zh-CN"/>
        </w:rPr>
      </w:pPr>
      <w:r>
        <w:rPr>
          <w:rFonts w:hint="eastAsia" w:eastAsia="黑体" w:cs="黑体"/>
          <w:sz w:val="32"/>
          <w:szCs w:val="32"/>
          <w:lang w:val="en-US" w:eastAsia="zh-CN"/>
        </w:rPr>
        <w:t>七、果糖</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（一）抽检依据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outlineLvl w:val="1"/>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5009.12-2017《食品安全国家标准 食品中铅的测定》，GB 2762-2017《食品安全国家标准 食品中污染物限量》，GB 5009.28-2016《食品安全国家标准 食品中苯甲酸、三梨酸和糖精钠的测定》，GB2760-2014《食品安全国家标准 食品添加剂使用标准》。</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（二）抽检项目</w:t>
      </w:r>
    </w:p>
    <w:p>
      <w:pPr>
        <w:keepNext w:val="0"/>
        <w:keepLines w:val="0"/>
        <w:pageBreakBefore w:val="0"/>
        <w:widowControl/>
        <w:numPr>
          <w:numId w:val="0"/>
        </w:numPr>
        <w:kinsoku/>
        <w:wordWrap/>
        <w:overflowPunct/>
        <w:topLinePunct w:val="0"/>
        <w:autoSpaceDE/>
        <w:autoSpaceDN/>
        <w:bidi w:val="0"/>
        <w:adjustRightInd w:val="0"/>
        <w:snapToGrid w:val="0"/>
        <w:spacing w:line="640" w:lineRule="exact"/>
        <w:ind w:firstLine="640" w:firstLineChars="200"/>
        <w:textAlignment w:val="auto"/>
        <w:outlineLvl w:val="1"/>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拼拼乐（果味软糖）的抽检项目包括铅（以Pb计）、糖精钠（以糖精计）。</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default" w:eastAsia="黑体" w:cs="黑体"/>
          <w:sz w:val="32"/>
          <w:szCs w:val="32"/>
          <w:lang w:val="en-US" w:eastAsia="zh-CN"/>
        </w:rPr>
      </w:pPr>
      <w:r>
        <w:rPr>
          <w:rFonts w:hint="eastAsia" w:eastAsia="黑体" w:cs="黑体"/>
          <w:sz w:val="32"/>
          <w:szCs w:val="32"/>
          <w:lang w:val="en-US" w:eastAsia="zh-CN"/>
        </w:rPr>
        <w:t>八、饮料</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（一）抽检依据</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640" w:lineRule="exact"/>
        <w:ind w:left="420" w:leftChars="0"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抽检依据是GB 5009.28-2016《食品安全国家标准 食品中苯甲酸、三梨酸和糖精钠的测定》，</w:t>
      </w:r>
      <w:r>
        <w:rPr>
          <w:rFonts w:hint="eastAsia" w:ascii="仿宋" w:hAnsi="仿宋" w:eastAsia="仿宋" w:cs="仿宋"/>
          <w:sz w:val="32"/>
          <w:szCs w:val="32"/>
          <w:lang w:val="en-US" w:eastAsia="zh-CN"/>
        </w:rPr>
        <w:t>GB 5009.121-2016《食品安全国家标准 食品中脱氢乙酸的测定》，</w:t>
      </w:r>
      <w:r>
        <w:rPr>
          <w:rFonts w:hint="eastAsia" w:ascii="仿宋_GB2312" w:hAnsi="黑体" w:eastAsia="仿宋_GB2312"/>
          <w:sz w:val="32"/>
          <w:szCs w:val="32"/>
          <w:lang w:val="en-US" w:eastAsia="zh-CN"/>
        </w:rPr>
        <w:t>GB2760-2014《食品安全国家标准 食品添加剂使用标准》，GB5009.97-2016《食品安全国家标准 食品中环已基氨基磺酸钠的测定》，GB4789.3-2016《食品安全国家标准 食品微生物学检验 大肠菌群计数》，GB 7101-2015《食品安全国家标准 饮料》。</w:t>
      </w:r>
    </w:p>
    <w:p>
      <w:pPr>
        <w:keepNext w:val="0"/>
        <w:keepLines w:val="0"/>
        <w:pageBreakBefore w:val="0"/>
        <w:widowControl/>
        <w:kinsoku/>
        <w:wordWrap/>
        <w:overflowPunct/>
        <w:topLinePunct w:val="0"/>
        <w:autoSpaceDE/>
        <w:autoSpaceDN/>
        <w:bidi w:val="0"/>
        <w:adjustRightInd w:val="0"/>
        <w:snapToGrid w:val="0"/>
        <w:spacing w:line="640" w:lineRule="exact"/>
        <w:ind w:firstLine="643" w:firstLineChars="200"/>
        <w:textAlignment w:val="auto"/>
        <w:outlineLvl w:val="1"/>
        <w:rPr>
          <w:rFonts w:hint="eastAsia" w:ascii="楷体" w:hAnsi="楷体" w:eastAsia="楷体"/>
          <w:b/>
          <w:sz w:val="32"/>
          <w:szCs w:val="32"/>
          <w:lang w:val="en-US" w:eastAsia="zh-CN"/>
        </w:rPr>
      </w:pPr>
      <w:r>
        <w:rPr>
          <w:rFonts w:hint="eastAsia" w:ascii="楷体" w:hAnsi="楷体" w:eastAsia="楷体"/>
          <w:b/>
          <w:sz w:val="32"/>
          <w:szCs w:val="32"/>
          <w:lang w:val="en-US" w:eastAsia="zh-CN"/>
        </w:rPr>
        <w:t>（二）抽检项目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textAlignment w:val="auto"/>
        <w:outlineLvl w:val="1"/>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酸奶小布丁（草莓味）的抽检项目包括山梨酸及其钾盐（以山梨酸计）、脱氢乙酸及其钠盐（以脱氢乙酸计）、甜蜜素（以环已基氨基磺酸计）、大肠菌群。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1C01B"/>
    <w:multiLevelType w:val="singleLevel"/>
    <w:tmpl w:val="D4A1C01B"/>
    <w:lvl w:ilvl="0" w:tentative="0">
      <w:start w:val="1"/>
      <w:numFmt w:val="decimal"/>
      <w:suff w:val="nothing"/>
      <w:lvlText w:val="%1．"/>
      <w:lvlJc w:val="left"/>
      <w:pPr>
        <w:ind w:left="0" w:firstLine="400"/>
      </w:pPr>
      <w:rPr>
        <w:rFonts w:hint="default"/>
      </w:rPr>
    </w:lvl>
  </w:abstractNum>
  <w:abstractNum w:abstractNumId="1">
    <w:nsid w:val="E3DEF616"/>
    <w:multiLevelType w:val="singleLevel"/>
    <w:tmpl w:val="E3DEF616"/>
    <w:lvl w:ilvl="0" w:tentative="0">
      <w:start w:val="1"/>
      <w:numFmt w:val="decimal"/>
      <w:suff w:val="nothing"/>
      <w:lvlText w:val="%1．"/>
      <w:lvlJc w:val="left"/>
      <w:pPr>
        <w:ind w:left="0" w:firstLine="400"/>
      </w:pPr>
      <w:rPr>
        <w:rFonts w:hint="default"/>
      </w:rPr>
    </w:lvl>
  </w:abstractNum>
  <w:abstractNum w:abstractNumId="2">
    <w:nsid w:val="1F22E84D"/>
    <w:multiLevelType w:val="singleLevel"/>
    <w:tmpl w:val="1F22E84D"/>
    <w:lvl w:ilvl="0" w:tentative="0">
      <w:start w:val="1"/>
      <w:numFmt w:val="chineseCounting"/>
      <w:suff w:val="nothing"/>
      <w:lvlText w:val="%1、"/>
      <w:lvlJc w:val="left"/>
      <w:pPr>
        <w:ind w:left="680" w:firstLine="420"/>
      </w:pPr>
      <w:rPr>
        <w:rFonts w:hint="eastAsia"/>
      </w:rPr>
    </w:lvl>
  </w:abstractNum>
  <w:abstractNum w:abstractNumId="3">
    <w:nsid w:val="52DE2F42"/>
    <w:multiLevelType w:val="singleLevel"/>
    <w:tmpl w:val="52DE2F42"/>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YjYzMmMxNzhhODA4YTU3ZDlkOTdkMjEyMzUzZGYifQ=="/>
  </w:docVars>
  <w:rsids>
    <w:rsidRoot w:val="13ED2AE1"/>
    <w:rsid w:val="0FA271C6"/>
    <w:rsid w:val="10D47C1A"/>
    <w:rsid w:val="12C30A10"/>
    <w:rsid w:val="13ED2AE1"/>
    <w:rsid w:val="15033573"/>
    <w:rsid w:val="1BA95AEC"/>
    <w:rsid w:val="2B8F0E00"/>
    <w:rsid w:val="2F4D3910"/>
    <w:rsid w:val="35BF5B42"/>
    <w:rsid w:val="4180507D"/>
    <w:rsid w:val="45541C61"/>
    <w:rsid w:val="4B527E69"/>
    <w:rsid w:val="4B681523"/>
    <w:rsid w:val="57160009"/>
    <w:rsid w:val="5E445DC2"/>
    <w:rsid w:val="73D86162"/>
    <w:rsid w:val="7DB5388B"/>
    <w:rsid w:val="7E64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1082</Words>
  <Characters>1253</Characters>
  <Lines>0</Lines>
  <Paragraphs>0</Paragraphs>
  <TotalTime>2</TotalTime>
  <ScaleCrop>false</ScaleCrop>
  <LinksUpToDate>false</LinksUpToDate>
  <CharactersWithSpaces>1284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admin</cp:lastModifiedBy>
  <dcterms:modified xsi:type="dcterms:W3CDTF">2022-11-29T10:05:47Z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DA5F3037112F458A94B21138853045E5</vt:lpwstr>
  </property>
</Properties>
</file>