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outlineLvl w:val="0"/>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pacing w:after="0" w:line="600" w:lineRule="exact"/>
        <w:jc w:val="center"/>
        <w:outlineLvl w:val="0"/>
        <w:rPr>
          <w:rFonts w:ascii="方正小标宋简体" w:hAnsi="黑体" w:eastAsia="方正小标宋简体"/>
          <w:b/>
          <w:sz w:val="44"/>
          <w:szCs w:val="44"/>
        </w:rPr>
      </w:pPr>
      <w:r>
        <w:rPr>
          <w:rFonts w:hint="eastAsia" w:ascii="方正小标宋简体" w:hAnsi="黑体" w:eastAsia="方正小标宋简体"/>
          <w:b/>
          <w:sz w:val="44"/>
          <w:szCs w:val="44"/>
        </w:rPr>
        <w:t>本次检验项目</w:t>
      </w:r>
    </w:p>
    <w:p>
      <w:pPr>
        <w:numPr>
          <w:ilvl w:val="0"/>
          <w:numId w:val="1"/>
        </w:numPr>
        <w:spacing w:after="0" w:line="600" w:lineRule="exact"/>
        <w:outlineLvl w:val="0"/>
        <w:rPr>
          <w:rFonts w:ascii="黑体" w:eastAsia="黑体" w:cs="黑体"/>
          <w:color w:val="000000"/>
          <w:sz w:val="32"/>
          <w:szCs w:val="32"/>
        </w:rPr>
      </w:pPr>
      <w:r>
        <w:rPr>
          <w:rFonts w:hint="eastAsia" w:ascii="黑体" w:hAnsi="黑体" w:eastAsia="黑体" w:cs="黑体"/>
          <w:b/>
          <w:sz w:val="32"/>
          <w:szCs w:val="32"/>
        </w:rPr>
        <w:t>食用农产品</w:t>
      </w:r>
    </w:p>
    <w:p>
      <w:pPr>
        <w:numPr>
          <w:ilvl w:val="0"/>
          <w:numId w:val="2"/>
        </w:numPr>
        <w:spacing w:after="0" w:line="600" w:lineRule="exact"/>
        <w:ind w:firstLine="482" w:firstLineChars="150"/>
        <w:outlineLvl w:val="1"/>
        <w:rPr>
          <w:rFonts w:ascii="楷体" w:hAnsi="楷体" w:eastAsia="楷体"/>
          <w:b/>
          <w:sz w:val="32"/>
          <w:szCs w:val="32"/>
        </w:rPr>
      </w:pPr>
      <w:r>
        <w:rPr>
          <w:rFonts w:hint="eastAsia" w:ascii="楷体" w:hAnsi="楷体" w:eastAsia="楷体"/>
          <w:b/>
          <w:sz w:val="32"/>
          <w:szCs w:val="32"/>
        </w:rPr>
        <w:t>抽检依据</w:t>
      </w:r>
    </w:p>
    <w:p>
      <w:pPr>
        <w:spacing w:after="0" w:line="600" w:lineRule="exact"/>
        <w:ind w:firstLine="640" w:firstLineChars="200"/>
        <w:rPr>
          <w:rFonts w:ascii="楷体" w:hAnsi="楷体" w:eastAsia="楷体"/>
          <w:b/>
          <w:sz w:val="32"/>
          <w:szCs w:val="32"/>
        </w:rPr>
      </w:pPr>
      <w:r>
        <w:rPr>
          <w:rFonts w:hint="eastAsia" w:ascii="仿宋_GB2312" w:hAnsi="黑体" w:eastAsia="仿宋_GB2312"/>
          <w:sz w:val="32"/>
          <w:szCs w:val="32"/>
        </w:rPr>
        <w:t>抽检依据是</w:t>
      </w:r>
      <w:r>
        <w:rPr>
          <w:rFonts w:ascii="仿宋_GB2312" w:hAnsi="黑体" w:eastAsia="仿宋_GB2312"/>
          <w:sz w:val="32"/>
          <w:szCs w:val="32"/>
        </w:rPr>
        <w:t>GB 22556-2008</w:t>
      </w:r>
      <w:r>
        <w:rPr>
          <w:rFonts w:hint="eastAsia" w:ascii="仿宋_GB2312" w:hAnsi="黑体" w:eastAsia="仿宋_GB2312"/>
          <w:sz w:val="32"/>
          <w:szCs w:val="32"/>
        </w:rPr>
        <w:t>《豆芽卫生标准》、</w:t>
      </w:r>
      <w:r>
        <w:rPr>
          <w:rFonts w:ascii="仿宋_GB2312" w:hAnsi="黑体" w:eastAsia="仿宋_GB2312"/>
          <w:sz w:val="32"/>
          <w:szCs w:val="32"/>
        </w:rPr>
        <w:t>GB 2762-2017</w:t>
      </w:r>
      <w:r>
        <w:rPr>
          <w:rFonts w:hint="eastAsia" w:ascii="仿宋_GB2312" w:hAnsi="黑体" w:eastAsia="仿宋_GB2312"/>
          <w:sz w:val="32"/>
          <w:szCs w:val="32"/>
        </w:rPr>
        <w:t>《食品安全国家标准</w:t>
      </w:r>
      <w:r>
        <w:rPr>
          <w:rFonts w:ascii="仿宋_GB2312" w:hAnsi="黑体" w:eastAsia="仿宋_GB2312"/>
          <w:sz w:val="32"/>
          <w:szCs w:val="32"/>
        </w:rPr>
        <w:t xml:space="preserve"> </w:t>
      </w:r>
      <w:r>
        <w:rPr>
          <w:rFonts w:hint="eastAsia" w:ascii="仿宋_GB2312" w:hAnsi="黑体" w:eastAsia="仿宋_GB2312"/>
          <w:sz w:val="32"/>
          <w:szCs w:val="32"/>
        </w:rPr>
        <w:t>食品中污染物限量》、</w:t>
      </w:r>
      <w:r>
        <w:rPr>
          <w:rFonts w:ascii="仿宋_GB2312" w:hAnsi="黑体" w:eastAsia="仿宋_GB2312"/>
          <w:sz w:val="32"/>
          <w:szCs w:val="32"/>
        </w:rPr>
        <w:t>GB 2763-2021</w:t>
      </w:r>
      <w:r>
        <w:rPr>
          <w:rFonts w:hint="eastAsia" w:ascii="仿宋_GB2312" w:hAnsi="黑体" w:eastAsia="仿宋_GB2312"/>
          <w:sz w:val="32"/>
          <w:szCs w:val="32"/>
        </w:rPr>
        <w:t>《食品安全国家标准</w:t>
      </w:r>
      <w:r>
        <w:rPr>
          <w:rFonts w:ascii="仿宋_GB2312" w:hAnsi="黑体" w:eastAsia="仿宋_GB2312"/>
          <w:sz w:val="32"/>
          <w:szCs w:val="32"/>
        </w:rPr>
        <w:t xml:space="preserve"> </w:t>
      </w:r>
      <w:r>
        <w:rPr>
          <w:rFonts w:hint="eastAsia" w:ascii="仿宋_GB2312" w:hAnsi="黑体" w:eastAsia="仿宋_GB2312"/>
          <w:sz w:val="32"/>
          <w:szCs w:val="32"/>
        </w:rPr>
        <w:t>食品中农药最大残留限量》、</w:t>
      </w:r>
      <w:r>
        <w:rPr>
          <w:rFonts w:ascii="仿宋_GB2312" w:hAnsi="黑体" w:eastAsia="仿宋_GB2312"/>
          <w:sz w:val="32"/>
          <w:szCs w:val="32"/>
        </w:rPr>
        <w:t>GB 2763.1-2022</w:t>
      </w:r>
      <w:r>
        <w:rPr>
          <w:rFonts w:hint="eastAsia" w:ascii="仿宋_GB2312" w:hAnsi="黑体" w:eastAsia="仿宋_GB2312"/>
          <w:sz w:val="32"/>
          <w:szCs w:val="32"/>
        </w:rPr>
        <w:t>《食品安全国家标准食品中</w:t>
      </w:r>
      <w:r>
        <w:rPr>
          <w:rFonts w:ascii="仿宋_GB2312" w:hAnsi="黑体" w:eastAsia="仿宋_GB2312"/>
          <w:sz w:val="32"/>
          <w:szCs w:val="32"/>
        </w:rPr>
        <w:t>2,4-</w:t>
      </w:r>
      <w:r>
        <w:rPr>
          <w:rFonts w:hint="eastAsia" w:ascii="仿宋_GB2312" w:hAnsi="黑体" w:eastAsia="仿宋_GB2312"/>
          <w:sz w:val="32"/>
          <w:szCs w:val="32"/>
        </w:rPr>
        <w:t>滴丁酸钠盐等</w:t>
      </w:r>
      <w:r>
        <w:rPr>
          <w:rFonts w:ascii="仿宋_GB2312" w:hAnsi="黑体" w:eastAsia="仿宋_GB2312"/>
          <w:sz w:val="32"/>
          <w:szCs w:val="32"/>
        </w:rPr>
        <w:t>112</w:t>
      </w:r>
      <w:r>
        <w:rPr>
          <w:rFonts w:hint="eastAsia" w:ascii="仿宋_GB2312" w:hAnsi="黑体" w:eastAsia="仿宋_GB2312"/>
          <w:sz w:val="32"/>
          <w:szCs w:val="32"/>
        </w:rPr>
        <w:t>种农药最大残留限量》、</w:t>
      </w:r>
      <w:r>
        <w:rPr>
          <w:rFonts w:ascii="仿宋_GB2312" w:hAnsi="黑体" w:eastAsia="仿宋_GB2312"/>
          <w:sz w:val="32"/>
          <w:szCs w:val="32"/>
        </w:rPr>
        <w:t>GB 31650-2019</w:t>
      </w:r>
      <w:r>
        <w:rPr>
          <w:rFonts w:hint="eastAsia" w:ascii="仿宋_GB2312" w:hAnsi="黑体" w:eastAsia="仿宋_GB2312"/>
          <w:sz w:val="32"/>
          <w:szCs w:val="32"/>
        </w:rPr>
        <w:t>《食品安全国家标准食品中兽药最大残留限量》、</w:t>
      </w:r>
      <w:r>
        <w:rPr>
          <w:rFonts w:ascii="仿宋_GB2312" w:hAnsi="黑体" w:eastAsia="仿宋_GB2312"/>
          <w:sz w:val="32"/>
          <w:szCs w:val="32"/>
        </w:rPr>
        <w:t>GB 31650.1-2022</w:t>
      </w:r>
      <w:r>
        <w:rPr>
          <w:rFonts w:hint="eastAsia" w:ascii="仿宋_GB2312" w:hAnsi="黑体" w:eastAsia="仿宋_GB2312"/>
          <w:sz w:val="32"/>
          <w:szCs w:val="32"/>
        </w:rPr>
        <w:t>《食品安全国家标准食品中</w:t>
      </w:r>
      <w:r>
        <w:rPr>
          <w:rFonts w:ascii="仿宋_GB2312" w:hAnsi="黑体" w:eastAsia="仿宋_GB2312"/>
          <w:sz w:val="32"/>
          <w:szCs w:val="32"/>
        </w:rPr>
        <w:t>41</w:t>
      </w:r>
      <w:r>
        <w:rPr>
          <w:rFonts w:hint="eastAsia" w:ascii="仿宋_GB2312" w:hAnsi="黑体" w:eastAsia="仿宋_GB2312"/>
          <w:sz w:val="32"/>
          <w:szCs w:val="32"/>
        </w:rPr>
        <w:t>种兽药最大残留限量》、国家食品药品监督管理总局农业部国家卫生和计划生育委员会关于豆芽生产过程中禁止使用</w:t>
      </w:r>
      <w:r>
        <w:rPr>
          <w:rFonts w:ascii="仿宋_GB2312" w:hAnsi="黑体" w:eastAsia="仿宋_GB2312"/>
          <w:sz w:val="32"/>
          <w:szCs w:val="32"/>
        </w:rPr>
        <w:t>6-</w:t>
      </w:r>
      <w:r>
        <w:rPr>
          <w:rFonts w:hint="eastAsia" w:ascii="仿宋_GB2312" w:hAnsi="黑体" w:eastAsia="仿宋_GB2312"/>
          <w:sz w:val="32"/>
          <w:szCs w:val="32"/>
        </w:rPr>
        <w:t>苄基腺嘌呤等物质的公告</w:t>
      </w:r>
      <w:r>
        <w:rPr>
          <w:rFonts w:ascii="仿宋_GB2312" w:hAnsi="黑体" w:eastAsia="仿宋_GB2312"/>
          <w:sz w:val="32"/>
          <w:szCs w:val="32"/>
        </w:rPr>
        <w:t xml:space="preserve">(2015 </w:t>
      </w:r>
      <w:r>
        <w:rPr>
          <w:rFonts w:hint="eastAsia" w:ascii="仿宋_GB2312" w:hAnsi="黑体" w:eastAsia="仿宋_GB2312"/>
          <w:sz w:val="32"/>
          <w:szCs w:val="32"/>
        </w:rPr>
        <w:t>年第</w:t>
      </w:r>
      <w:r>
        <w:rPr>
          <w:rFonts w:ascii="仿宋_GB2312" w:hAnsi="黑体" w:eastAsia="仿宋_GB2312"/>
          <w:sz w:val="32"/>
          <w:szCs w:val="32"/>
        </w:rPr>
        <w:t xml:space="preserve"> 11 </w:t>
      </w:r>
      <w:r>
        <w:rPr>
          <w:rFonts w:hint="eastAsia" w:ascii="仿宋_GB2312" w:hAnsi="黑体" w:eastAsia="仿宋_GB2312"/>
          <w:sz w:val="32"/>
          <w:szCs w:val="32"/>
        </w:rPr>
        <w:t>号</w:t>
      </w:r>
      <w:r>
        <w:rPr>
          <w:rFonts w:ascii="仿宋_GB2312" w:hAnsi="黑体" w:eastAsia="仿宋_GB2312"/>
          <w:sz w:val="32"/>
          <w:szCs w:val="32"/>
        </w:rPr>
        <w:t>)</w:t>
      </w:r>
      <w:r>
        <w:rPr>
          <w:rFonts w:hint="eastAsia" w:ascii="仿宋_GB2312" w:hAnsi="黑体" w:eastAsia="仿宋_GB2312"/>
          <w:sz w:val="32"/>
          <w:szCs w:val="32"/>
        </w:rPr>
        <w:t>、农业农村部公告</w:t>
      </w:r>
      <w:r>
        <w:rPr>
          <w:rFonts w:ascii="仿宋_GB2312" w:hAnsi="黑体" w:eastAsia="仿宋_GB2312"/>
          <w:sz w:val="32"/>
          <w:szCs w:val="32"/>
        </w:rPr>
        <w:t xml:space="preserve"> </w:t>
      </w:r>
      <w:r>
        <w:rPr>
          <w:rFonts w:hint="eastAsia" w:ascii="仿宋_GB2312" w:hAnsi="黑体" w:eastAsia="仿宋_GB2312"/>
          <w:sz w:val="32"/>
          <w:szCs w:val="32"/>
        </w:rPr>
        <w:t>第</w:t>
      </w:r>
      <w:r>
        <w:rPr>
          <w:rFonts w:ascii="仿宋_GB2312" w:hAnsi="黑体" w:eastAsia="仿宋_GB2312"/>
          <w:sz w:val="32"/>
          <w:szCs w:val="32"/>
        </w:rPr>
        <w:t>250</w:t>
      </w:r>
      <w:r>
        <w:rPr>
          <w:rFonts w:hint="eastAsia" w:ascii="仿宋_GB2312" w:hAnsi="黑体" w:eastAsia="仿宋_GB2312"/>
          <w:sz w:val="32"/>
          <w:szCs w:val="32"/>
        </w:rPr>
        <w:t>号《食品动物中禁止使用的药品及其他化合物清单》。</w:t>
      </w:r>
    </w:p>
    <w:p>
      <w:pPr>
        <w:spacing w:after="0" w:line="600" w:lineRule="exact"/>
        <w:ind w:firstLine="482" w:firstLineChars="150"/>
        <w:outlineLvl w:val="1"/>
        <w:rPr>
          <w:rFonts w:ascii="黑体" w:eastAsia="黑体" w:cs="黑体"/>
          <w:color w:val="000000"/>
          <w:sz w:val="32"/>
          <w:szCs w:val="32"/>
        </w:rPr>
      </w:pPr>
      <w:r>
        <w:rPr>
          <w:rFonts w:hint="eastAsia" w:ascii="楷体" w:hAnsi="楷体" w:eastAsia="楷体"/>
          <w:b/>
          <w:sz w:val="32"/>
          <w:szCs w:val="32"/>
        </w:rPr>
        <w:t>（二）检验项目</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1.</w:t>
      </w:r>
      <w:r>
        <w:rPr>
          <w:rFonts w:hint="eastAsia" w:ascii="仿宋_GB2312" w:hAnsi="黑体" w:eastAsia="仿宋_GB2312"/>
          <w:sz w:val="32"/>
          <w:szCs w:val="32"/>
        </w:rPr>
        <w:t>菠菜的抽检项目包括毒死蜱、腐霉利、甲拌磷、氧乐果；</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2.</w:t>
      </w:r>
      <w:r>
        <w:rPr>
          <w:rFonts w:hint="eastAsia" w:ascii="仿宋_GB2312" w:hAnsi="黑体" w:eastAsia="仿宋_GB2312"/>
          <w:sz w:val="32"/>
          <w:szCs w:val="32"/>
        </w:rPr>
        <w:t>菜豆的抽检项目包括灭蝇胺、三唑磷、乙酰甲胺磷；</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3.</w:t>
      </w:r>
      <w:r>
        <w:rPr>
          <w:rFonts w:hint="eastAsia" w:ascii="仿宋_GB2312" w:hAnsi="黑体" w:eastAsia="仿宋_GB2312"/>
          <w:sz w:val="32"/>
          <w:szCs w:val="32"/>
        </w:rPr>
        <w:t>淡水鱼的抽检项目包括诺氟沙星、氧氟沙星、恩诺沙星、地西泮；</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4.</w:t>
      </w:r>
      <w:r>
        <w:rPr>
          <w:rFonts w:hint="eastAsia" w:ascii="仿宋_GB2312" w:hAnsi="黑体" w:eastAsia="仿宋_GB2312"/>
          <w:sz w:val="32"/>
          <w:szCs w:val="32"/>
        </w:rPr>
        <w:t>豆芽的抽检项目包括亚硫酸盐</w:t>
      </w:r>
      <w:r>
        <w:rPr>
          <w:rFonts w:ascii="仿宋_GB2312" w:hAnsi="黑体" w:eastAsia="仿宋_GB2312"/>
          <w:sz w:val="32"/>
          <w:szCs w:val="32"/>
        </w:rPr>
        <w:t>(</w:t>
      </w:r>
      <w:r>
        <w:rPr>
          <w:rFonts w:hint="eastAsia" w:ascii="仿宋_GB2312" w:hAnsi="黑体" w:eastAsia="仿宋_GB2312"/>
          <w:sz w:val="32"/>
          <w:szCs w:val="32"/>
        </w:rPr>
        <w:t>以</w:t>
      </w:r>
      <w:r>
        <w:rPr>
          <w:rFonts w:ascii="仿宋_GB2312" w:hAnsi="黑体" w:eastAsia="仿宋_GB2312"/>
          <w:sz w:val="32"/>
          <w:szCs w:val="32"/>
        </w:rPr>
        <w:t>SO</w:t>
      </w:r>
      <w:r>
        <w:rPr>
          <w:rFonts w:ascii="Cambria Math" w:hAnsi="Cambria Math" w:eastAsia="仿宋_GB2312" w:cs="Cambria Math"/>
          <w:sz w:val="32"/>
          <w:szCs w:val="32"/>
        </w:rPr>
        <w:t>₂</w:t>
      </w:r>
      <w:r>
        <w:rPr>
          <w:rFonts w:hint="eastAsia" w:ascii="仿宋_GB2312" w:hAnsi="黑体" w:eastAsia="仿宋_GB2312"/>
          <w:sz w:val="32"/>
          <w:szCs w:val="32"/>
        </w:rPr>
        <w:t>计</w:t>
      </w:r>
      <w:r>
        <w:rPr>
          <w:rFonts w:ascii="仿宋_GB2312" w:hAnsi="黑体" w:eastAsia="仿宋_GB2312"/>
          <w:sz w:val="32"/>
          <w:szCs w:val="32"/>
        </w:rPr>
        <w:t>)</w:t>
      </w:r>
      <w:r>
        <w:rPr>
          <w:rFonts w:hint="eastAsia" w:ascii="仿宋_GB2312" w:hAnsi="黑体" w:eastAsia="仿宋_GB2312"/>
          <w:sz w:val="32"/>
          <w:szCs w:val="32"/>
        </w:rPr>
        <w:t>、总汞</w:t>
      </w:r>
      <w:r>
        <w:rPr>
          <w:rFonts w:ascii="仿宋_GB2312" w:hAnsi="黑体" w:eastAsia="仿宋_GB2312"/>
          <w:sz w:val="32"/>
          <w:szCs w:val="32"/>
        </w:rPr>
        <w:t>(</w:t>
      </w:r>
      <w:r>
        <w:rPr>
          <w:rFonts w:hint="eastAsia" w:ascii="仿宋_GB2312" w:hAnsi="黑体" w:eastAsia="仿宋_GB2312"/>
          <w:sz w:val="32"/>
          <w:szCs w:val="32"/>
        </w:rPr>
        <w:t>以</w:t>
      </w:r>
      <w:r>
        <w:rPr>
          <w:rFonts w:ascii="仿宋_GB2312" w:hAnsi="黑体" w:eastAsia="仿宋_GB2312"/>
          <w:sz w:val="32"/>
          <w:szCs w:val="32"/>
        </w:rPr>
        <w:t>Hg</w:t>
      </w:r>
      <w:r>
        <w:rPr>
          <w:rFonts w:hint="eastAsia" w:ascii="仿宋_GB2312" w:hAnsi="黑体" w:eastAsia="仿宋_GB2312"/>
          <w:sz w:val="32"/>
          <w:szCs w:val="32"/>
        </w:rPr>
        <w:t>计</w:t>
      </w:r>
      <w:r>
        <w:rPr>
          <w:rFonts w:ascii="仿宋_GB2312" w:hAnsi="黑体" w:eastAsia="仿宋_GB2312"/>
          <w:sz w:val="32"/>
          <w:szCs w:val="32"/>
        </w:rPr>
        <w:t>)</w:t>
      </w:r>
      <w:r>
        <w:rPr>
          <w:rFonts w:hint="eastAsia" w:ascii="仿宋_GB2312" w:hAnsi="黑体" w:eastAsia="仿宋_GB2312"/>
          <w:sz w:val="32"/>
          <w:szCs w:val="32"/>
        </w:rPr>
        <w:t>、</w:t>
      </w:r>
      <w:r>
        <w:rPr>
          <w:rFonts w:ascii="仿宋_GB2312" w:hAnsi="黑体" w:eastAsia="仿宋_GB2312"/>
          <w:sz w:val="32"/>
          <w:szCs w:val="32"/>
        </w:rPr>
        <w:t>6-</w:t>
      </w:r>
      <w:r>
        <w:rPr>
          <w:rFonts w:hint="eastAsia" w:ascii="仿宋_GB2312" w:hAnsi="黑体" w:eastAsia="仿宋_GB2312"/>
          <w:sz w:val="32"/>
          <w:szCs w:val="32"/>
        </w:rPr>
        <w:t>苄基腺嘌呤</w:t>
      </w:r>
      <w:r>
        <w:rPr>
          <w:rFonts w:ascii="仿宋_GB2312" w:hAnsi="黑体" w:eastAsia="仿宋_GB2312"/>
          <w:sz w:val="32"/>
          <w:szCs w:val="32"/>
        </w:rPr>
        <w:t>(6-BA)</w:t>
      </w:r>
      <w:r>
        <w:rPr>
          <w:rFonts w:hint="eastAsia" w:ascii="仿宋_GB2312" w:hAnsi="黑体" w:eastAsia="仿宋_GB2312"/>
          <w:sz w:val="32"/>
          <w:szCs w:val="32"/>
        </w:rPr>
        <w:t>、</w:t>
      </w:r>
      <w:r>
        <w:rPr>
          <w:rFonts w:ascii="仿宋_GB2312" w:hAnsi="黑体" w:eastAsia="仿宋_GB2312"/>
          <w:sz w:val="32"/>
          <w:szCs w:val="32"/>
        </w:rPr>
        <w:t>4-</w:t>
      </w:r>
      <w:r>
        <w:rPr>
          <w:rFonts w:hint="eastAsia" w:ascii="仿宋_GB2312" w:hAnsi="黑体" w:eastAsia="仿宋_GB2312"/>
          <w:sz w:val="32"/>
          <w:szCs w:val="32"/>
        </w:rPr>
        <w:t>氯苯氧乙酸钠</w:t>
      </w:r>
      <w:r>
        <w:rPr>
          <w:rFonts w:ascii="仿宋_GB2312" w:hAnsi="黑体" w:eastAsia="仿宋_GB2312"/>
          <w:sz w:val="32"/>
          <w:szCs w:val="32"/>
        </w:rPr>
        <w:t>(</w:t>
      </w:r>
      <w:r>
        <w:rPr>
          <w:rFonts w:hint="eastAsia" w:ascii="仿宋_GB2312" w:hAnsi="黑体" w:eastAsia="仿宋_GB2312"/>
          <w:sz w:val="32"/>
          <w:szCs w:val="32"/>
        </w:rPr>
        <w:t>以</w:t>
      </w:r>
      <w:r>
        <w:rPr>
          <w:rFonts w:ascii="仿宋_GB2312" w:hAnsi="黑体" w:eastAsia="仿宋_GB2312"/>
          <w:sz w:val="32"/>
          <w:szCs w:val="32"/>
        </w:rPr>
        <w:t>4-</w:t>
      </w:r>
      <w:r>
        <w:rPr>
          <w:rFonts w:hint="eastAsia" w:ascii="仿宋_GB2312" w:hAnsi="黑体" w:eastAsia="仿宋_GB2312"/>
          <w:sz w:val="32"/>
          <w:szCs w:val="32"/>
        </w:rPr>
        <w:t>氯苯氧乙酸计</w:t>
      </w:r>
      <w:r>
        <w:rPr>
          <w:rFonts w:ascii="仿宋_GB2312" w:hAnsi="黑体" w:eastAsia="仿宋_GB2312"/>
          <w:sz w:val="32"/>
          <w:szCs w:val="32"/>
        </w:rPr>
        <w:t>)</w:t>
      </w:r>
      <w:r>
        <w:rPr>
          <w:rFonts w:hint="eastAsia" w:ascii="仿宋_GB2312" w:hAnsi="黑体" w:eastAsia="仿宋_GB2312"/>
          <w:sz w:val="32"/>
          <w:szCs w:val="32"/>
        </w:rPr>
        <w:t>；</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5.</w:t>
      </w:r>
      <w:r>
        <w:rPr>
          <w:rFonts w:hint="eastAsia" w:ascii="仿宋_GB2312" w:hAnsi="黑体" w:eastAsia="仿宋_GB2312"/>
          <w:sz w:val="32"/>
          <w:szCs w:val="32"/>
        </w:rPr>
        <w:t>豇豆的抽检项目包括三唑磷、噻虫嗪、噻虫胺、灭蝇胺、灭多威、甲氨基阿维菌素苯甲酸盐、倍硫磷；</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6.</w:t>
      </w:r>
      <w:r>
        <w:rPr>
          <w:rFonts w:hint="eastAsia" w:ascii="仿宋_GB2312" w:hAnsi="黑体" w:eastAsia="仿宋_GB2312"/>
          <w:sz w:val="32"/>
          <w:szCs w:val="32"/>
        </w:rPr>
        <w:t>韭菜的抽检项目包括水胺硫磷、腐霉利、多菌灵、毒死蜱、啶虫脒；</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7.</w:t>
      </w:r>
      <w:r>
        <w:rPr>
          <w:rFonts w:hint="eastAsia" w:ascii="仿宋_GB2312" w:hAnsi="黑体" w:eastAsia="仿宋_GB2312"/>
          <w:sz w:val="32"/>
          <w:szCs w:val="32"/>
        </w:rPr>
        <w:t>辣椒的抽检项目包括丙溴磷、敌敌畏、毒死蜱、联苯菊酯；</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8.</w:t>
      </w:r>
      <w:r>
        <w:rPr>
          <w:rFonts w:hint="eastAsia" w:ascii="仿宋_GB2312" w:hAnsi="黑体" w:eastAsia="仿宋_GB2312"/>
          <w:sz w:val="32"/>
          <w:szCs w:val="32"/>
        </w:rPr>
        <w:t>普通白菜的抽检项目包括甲胺磷、毒死蜱、啶虫脒、敌敌畏；</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9.</w:t>
      </w:r>
      <w:r>
        <w:rPr>
          <w:rFonts w:hint="eastAsia" w:ascii="仿宋_GB2312" w:hAnsi="黑体" w:eastAsia="仿宋_GB2312"/>
          <w:sz w:val="32"/>
          <w:szCs w:val="32"/>
        </w:rPr>
        <w:t>芹菜的抽检项目包括水胺硫磷、克百威、甲拌磷、毒死蜱；</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10.</w:t>
      </w:r>
      <w:r>
        <w:rPr>
          <w:rFonts w:hint="eastAsia" w:ascii="仿宋_GB2312" w:hAnsi="黑体" w:eastAsia="仿宋_GB2312"/>
          <w:sz w:val="32"/>
          <w:szCs w:val="32"/>
        </w:rPr>
        <w:t>香蕉的抽检项目包括联苯菊酯、苯醚甲环唑、腈苯唑、噻虫胺、噻虫嗪、吡虫啉；</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11.</w:t>
      </w:r>
      <w:r>
        <w:rPr>
          <w:rFonts w:hint="eastAsia" w:ascii="仿宋_GB2312" w:hAnsi="黑体" w:eastAsia="仿宋_GB2312"/>
          <w:sz w:val="32"/>
          <w:szCs w:val="32"/>
        </w:rPr>
        <w:t>油麦菜的啶虫脒、氯氟氰菊酯和高效氯氟氰菊酯、乙酰甲胺磷；</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12.</w:t>
      </w:r>
      <w:r>
        <w:rPr>
          <w:rFonts w:hint="eastAsia" w:ascii="仿宋_GB2312" w:hAnsi="黑体" w:eastAsia="仿宋_GB2312"/>
          <w:sz w:val="32"/>
          <w:szCs w:val="32"/>
        </w:rPr>
        <w:t>猪肝的莱克多巴胺、沙丁胺醇、克伦特罗、恩诺沙星；</w:t>
      </w:r>
    </w:p>
    <w:p>
      <w:pPr>
        <w:spacing w:after="0" w:line="600" w:lineRule="exact"/>
        <w:ind w:firstLine="640" w:firstLineChars="200"/>
        <w:jc w:val="both"/>
        <w:rPr>
          <w:rFonts w:ascii="仿宋_GB2312" w:hAnsi="黑体" w:eastAsia="仿宋_GB2312"/>
          <w:sz w:val="32"/>
          <w:szCs w:val="32"/>
        </w:rPr>
      </w:pPr>
      <w:r>
        <w:rPr>
          <w:rFonts w:ascii="仿宋_GB2312" w:hAnsi="黑体" w:eastAsia="仿宋_GB2312"/>
          <w:sz w:val="32"/>
          <w:szCs w:val="32"/>
        </w:rPr>
        <w:t>13.</w:t>
      </w:r>
      <w:r>
        <w:rPr>
          <w:rFonts w:hint="eastAsia" w:ascii="仿宋_GB2312" w:hAnsi="黑体" w:eastAsia="仿宋_GB2312"/>
          <w:sz w:val="32"/>
          <w:szCs w:val="32"/>
        </w:rPr>
        <w:t>猪肉的恩诺沙星、莱克多巴胺、沙丁胺醇</w:t>
      </w:r>
      <w:r>
        <w:rPr>
          <w:rFonts w:hint="eastAsia" w:ascii="仿宋_GB2312" w:hAnsi="黑体" w:eastAsia="仿宋_GB2312"/>
          <w:sz w:val="32"/>
          <w:szCs w:val="32"/>
          <w:lang w:val="en-US" w:eastAsia="zh-CN"/>
        </w:rPr>
        <w:t>和</w:t>
      </w:r>
      <w:bookmarkStart w:id="0" w:name="_GoBack"/>
      <w:bookmarkEnd w:id="0"/>
      <w:r>
        <w:rPr>
          <w:rFonts w:hint="eastAsia" w:ascii="仿宋_GB2312" w:hAnsi="黑体" w:eastAsia="仿宋_GB2312"/>
          <w:sz w:val="32"/>
          <w:szCs w:val="32"/>
        </w:rPr>
        <w:t>克伦特罗。</w:t>
      </w:r>
    </w:p>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4C1F6C"/>
    <w:multiLevelType w:val="singleLevel"/>
    <w:tmpl w:val="EB4C1F6C"/>
    <w:lvl w:ilvl="0" w:tentative="0">
      <w:start w:val="1"/>
      <w:numFmt w:val="chineseCounting"/>
      <w:suff w:val="nothing"/>
      <w:lvlText w:val="（%1）"/>
      <w:lvlJc w:val="left"/>
      <w:rPr>
        <w:rFonts w:hint="eastAsia" w:cs="Times New Roman"/>
      </w:rPr>
    </w:lvl>
  </w:abstractNum>
  <w:abstractNum w:abstractNumId="1">
    <w:nsid w:val="1F22E84D"/>
    <w:multiLevelType w:val="singleLevel"/>
    <w:tmpl w:val="1F22E84D"/>
    <w:lvl w:ilvl="0" w:tentative="0">
      <w:start w:val="1"/>
      <w:numFmt w:val="chineseCounting"/>
      <w:suff w:val="nothing"/>
      <w:lvlText w:val="%1、"/>
      <w:lvlJc w:val="left"/>
      <w:pPr>
        <w:ind w:firstLine="420"/>
      </w:pPr>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zI5NWYwODhiZDI5OGFkN2Q2OGNiMWM4NTExYzAyNTkifQ=="/>
  </w:docVars>
  <w:rsids>
    <w:rsidRoot w:val="13ED2AE1"/>
    <w:rsid w:val="003828A6"/>
    <w:rsid w:val="00556C22"/>
    <w:rsid w:val="005F1827"/>
    <w:rsid w:val="006B7740"/>
    <w:rsid w:val="009C111C"/>
    <w:rsid w:val="00B0005C"/>
    <w:rsid w:val="00B63144"/>
    <w:rsid w:val="00D84E28"/>
    <w:rsid w:val="00E53F81"/>
    <w:rsid w:val="00E576EA"/>
    <w:rsid w:val="00ED744B"/>
    <w:rsid w:val="01256EF0"/>
    <w:rsid w:val="01DA20AA"/>
    <w:rsid w:val="04AF718C"/>
    <w:rsid w:val="04B403C6"/>
    <w:rsid w:val="0EB3632D"/>
    <w:rsid w:val="13ED2AE1"/>
    <w:rsid w:val="148876BD"/>
    <w:rsid w:val="15033573"/>
    <w:rsid w:val="165434B0"/>
    <w:rsid w:val="1A3C145A"/>
    <w:rsid w:val="1D3B7D29"/>
    <w:rsid w:val="1FCB2529"/>
    <w:rsid w:val="26F763BE"/>
    <w:rsid w:val="2D0F6B01"/>
    <w:rsid w:val="2F4D3910"/>
    <w:rsid w:val="38301DBE"/>
    <w:rsid w:val="39361F1D"/>
    <w:rsid w:val="3B5B5607"/>
    <w:rsid w:val="40A77CE0"/>
    <w:rsid w:val="414C7ECC"/>
    <w:rsid w:val="4180507D"/>
    <w:rsid w:val="43D8736E"/>
    <w:rsid w:val="48A22238"/>
    <w:rsid w:val="4B681523"/>
    <w:rsid w:val="4B8D4B4A"/>
    <w:rsid w:val="57160009"/>
    <w:rsid w:val="581E0C58"/>
    <w:rsid w:val="59AD4E28"/>
    <w:rsid w:val="5E445DC2"/>
    <w:rsid w:val="5F435DA8"/>
    <w:rsid w:val="65F36D5E"/>
    <w:rsid w:val="67CA4DF7"/>
    <w:rsid w:val="68DE0E3C"/>
    <w:rsid w:val="713118C3"/>
    <w:rsid w:val="7DB5388B"/>
    <w:rsid w:val="7E227E4E"/>
    <w:rsid w:val="7E645D4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2">
    <w:name w:val="heading 1"/>
    <w:basedOn w:val="1"/>
    <w:next w:val="1"/>
    <w:link w:val="13"/>
    <w:qFormat/>
    <w:uiPriority w:val="99"/>
    <w:pPr>
      <w:keepNext/>
      <w:keepLines/>
      <w:spacing w:before="340" w:after="330" w:line="576" w:lineRule="auto"/>
      <w:outlineLvl w:val="0"/>
    </w:pPr>
    <w:rPr>
      <w:b/>
      <w:kern w:val="44"/>
      <w:sz w:val="44"/>
    </w:rPr>
  </w:style>
  <w:style w:type="paragraph" w:styleId="3">
    <w:name w:val="heading 2"/>
    <w:basedOn w:val="1"/>
    <w:next w:val="1"/>
    <w:link w:val="14"/>
    <w:qFormat/>
    <w:uiPriority w:val="99"/>
    <w:pPr>
      <w:keepNext/>
      <w:keepLines/>
      <w:spacing w:before="260" w:after="260" w:line="413" w:lineRule="auto"/>
      <w:outlineLvl w:val="1"/>
    </w:pPr>
    <w:rPr>
      <w:rFonts w:ascii="Arial" w:hAnsi="Arial" w:eastAsia="黑体"/>
      <w:b/>
      <w:sz w:val="32"/>
    </w:rPr>
  </w:style>
  <w:style w:type="paragraph" w:styleId="4">
    <w:name w:val="heading 3"/>
    <w:basedOn w:val="1"/>
    <w:next w:val="1"/>
    <w:link w:val="15"/>
    <w:qFormat/>
    <w:uiPriority w:val="99"/>
    <w:pPr>
      <w:keepNext/>
      <w:keepLines/>
      <w:spacing w:before="260" w:after="260" w:line="413" w:lineRule="auto"/>
      <w:outlineLvl w:val="2"/>
    </w:pPr>
    <w:rPr>
      <w:b/>
      <w:sz w:val="32"/>
    </w:rPr>
  </w:style>
  <w:style w:type="paragraph" w:styleId="5">
    <w:name w:val="heading 4"/>
    <w:basedOn w:val="1"/>
    <w:next w:val="1"/>
    <w:link w:val="16"/>
    <w:qFormat/>
    <w:uiPriority w:val="99"/>
    <w:pPr>
      <w:keepNext/>
      <w:keepLines/>
      <w:spacing w:before="280" w:after="290" w:line="372" w:lineRule="auto"/>
      <w:outlineLvl w:val="3"/>
    </w:pPr>
    <w:rPr>
      <w:rFonts w:ascii="Arial" w:hAnsi="Arial" w:eastAsia="黑体"/>
      <w:b/>
      <w:sz w:val="28"/>
    </w:rPr>
  </w:style>
  <w:style w:type="paragraph" w:styleId="6">
    <w:name w:val="heading 5"/>
    <w:basedOn w:val="1"/>
    <w:next w:val="1"/>
    <w:link w:val="17"/>
    <w:qFormat/>
    <w:uiPriority w:val="99"/>
    <w:pPr>
      <w:keepNext/>
      <w:keepLines/>
      <w:spacing w:before="280" w:after="290" w:line="372" w:lineRule="auto"/>
      <w:outlineLvl w:val="4"/>
    </w:pPr>
    <w:rPr>
      <w:b/>
      <w:sz w:val="28"/>
    </w:rPr>
  </w:style>
  <w:style w:type="paragraph" w:styleId="7">
    <w:name w:val="heading 6"/>
    <w:basedOn w:val="1"/>
    <w:next w:val="1"/>
    <w:link w:val="18"/>
    <w:qFormat/>
    <w:uiPriority w:val="99"/>
    <w:pPr>
      <w:keepNext/>
      <w:keepLines/>
      <w:spacing w:before="240" w:after="64" w:line="317" w:lineRule="auto"/>
      <w:outlineLvl w:val="5"/>
    </w:pPr>
    <w:rPr>
      <w:rFonts w:ascii="Arial" w:hAnsi="Arial" w:eastAsia="黑体"/>
      <w:b/>
      <w:sz w:val="24"/>
    </w:rPr>
  </w:style>
  <w:style w:type="paragraph" w:styleId="8">
    <w:name w:val="heading 7"/>
    <w:basedOn w:val="1"/>
    <w:next w:val="1"/>
    <w:link w:val="19"/>
    <w:qFormat/>
    <w:uiPriority w:val="99"/>
    <w:pPr>
      <w:keepNext/>
      <w:keepLines/>
      <w:spacing w:before="240" w:after="64" w:line="317" w:lineRule="auto"/>
      <w:outlineLvl w:val="6"/>
    </w:pPr>
    <w:rPr>
      <w:b/>
      <w:sz w:val="24"/>
    </w:rPr>
  </w:style>
  <w:style w:type="character" w:default="1" w:styleId="12">
    <w:name w:val="Default Paragraph Font"/>
    <w:semiHidden/>
    <w:qFormat/>
    <w:uiPriority w:val="99"/>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9">
    <w:name w:val="footer"/>
    <w:basedOn w:val="1"/>
    <w:link w:val="21"/>
    <w:qFormat/>
    <w:uiPriority w:val="99"/>
    <w:pPr>
      <w:tabs>
        <w:tab w:val="center" w:pos="4153"/>
        <w:tab w:val="right" w:pos="8306"/>
      </w:tabs>
    </w:pPr>
    <w:rPr>
      <w:sz w:val="18"/>
      <w:szCs w:val="18"/>
    </w:rPr>
  </w:style>
  <w:style w:type="paragraph" w:styleId="10">
    <w:name w:val="header"/>
    <w:basedOn w:val="1"/>
    <w:link w:val="20"/>
    <w:qFormat/>
    <w:uiPriority w:val="99"/>
    <w:pPr>
      <w:pBdr>
        <w:bottom w:val="single" w:color="auto" w:sz="6" w:space="1"/>
      </w:pBdr>
      <w:tabs>
        <w:tab w:val="center" w:pos="4153"/>
        <w:tab w:val="right" w:pos="8306"/>
      </w:tabs>
      <w:jc w:val="center"/>
    </w:pPr>
    <w:rPr>
      <w:sz w:val="18"/>
      <w:szCs w:val="18"/>
    </w:rPr>
  </w:style>
  <w:style w:type="character" w:customStyle="1" w:styleId="13">
    <w:name w:val="Heading 1 Char"/>
    <w:basedOn w:val="12"/>
    <w:link w:val="2"/>
    <w:qFormat/>
    <w:uiPriority w:val="9"/>
    <w:rPr>
      <w:rFonts w:ascii="Tahoma" w:hAnsi="Tahoma" w:eastAsia="微软雅黑"/>
      <w:b/>
      <w:bCs/>
      <w:kern w:val="44"/>
      <w:sz w:val="44"/>
      <w:szCs w:val="44"/>
    </w:rPr>
  </w:style>
  <w:style w:type="character" w:customStyle="1" w:styleId="14">
    <w:name w:val="Heading 2 Char"/>
    <w:basedOn w:val="12"/>
    <w:link w:val="3"/>
    <w:semiHidden/>
    <w:qFormat/>
    <w:uiPriority w:val="9"/>
    <w:rPr>
      <w:rFonts w:asciiTheme="majorHAnsi" w:hAnsiTheme="majorHAnsi" w:eastAsiaTheme="majorEastAsia" w:cstheme="majorBidi"/>
      <w:b/>
      <w:bCs/>
      <w:kern w:val="0"/>
      <w:sz w:val="32"/>
      <w:szCs w:val="32"/>
    </w:rPr>
  </w:style>
  <w:style w:type="character" w:customStyle="1" w:styleId="15">
    <w:name w:val="Heading 3 Char"/>
    <w:basedOn w:val="12"/>
    <w:link w:val="4"/>
    <w:semiHidden/>
    <w:qFormat/>
    <w:uiPriority w:val="9"/>
    <w:rPr>
      <w:rFonts w:ascii="Tahoma" w:hAnsi="Tahoma" w:eastAsia="微软雅黑"/>
      <w:b/>
      <w:bCs/>
      <w:kern w:val="0"/>
      <w:sz w:val="32"/>
      <w:szCs w:val="32"/>
    </w:rPr>
  </w:style>
  <w:style w:type="character" w:customStyle="1" w:styleId="16">
    <w:name w:val="Heading 4 Char"/>
    <w:basedOn w:val="12"/>
    <w:link w:val="5"/>
    <w:semiHidden/>
    <w:qFormat/>
    <w:uiPriority w:val="9"/>
    <w:rPr>
      <w:rFonts w:asciiTheme="majorHAnsi" w:hAnsiTheme="majorHAnsi" w:eastAsiaTheme="majorEastAsia" w:cstheme="majorBidi"/>
      <w:b/>
      <w:bCs/>
      <w:kern w:val="0"/>
      <w:sz w:val="28"/>
      <w:szCs w:val="28"/>
    </w:rPr>
  </w:style>
  <w:style w:type="character" w:customStyle="1" w:styleId="17">
    <w:name w:val="Heading 5 Char"/>
    <w:basedOn w:val="12"/>
    <w:link w:val="6"/>
    <w:semiHidden/>
    <w:qFormat/>
    <w:uiPriority w:val="9"/>
    <w:rPr>
      <w:rFonts w:ascii="Tahoma" w:hAnsi="Tahoma" w:eastAsia="微软雅黑"/>
      <w:b/>
      <w:bCs/>
      <w:kern w:val="0"/>
      <w:sz w:val="28"/>
      <w:szCs w:val="28"/>
    </w:rPr>
  </w:style>
  <w:style w:type="character" w:customStyle="1" w:styleId="18">
    <w:name w:val="Heading 6 Char"/>
    <w:basedOn w:val="12"/>
    <w:link w:val="7"/>
    <w:semiHidden/>
    <w:qFormat/>
    <w:uiPriority w:val="9"/>
    <w:rPr>
      <w:rFonts w:asciiTheme="majorHAnsi" w:hAnsiTheme="majorHAnsi" w:eastAsiaTheme="majorEastAsia" w:cstheme="majorBidi"/>
      <w:b/>
      <w:bCs/>
      <w:kern w:val="0"/>
      <w:sz w:val="24"/>
      <w:szCs w:val="24"/>
    </w:rPr>
  </w:style>
  <w:style w:type="character" w:customStyle="1" w:styleId="19">
    <w:name w:val="Heading 7 Char"/>
    <w:basedOn w:val="12"/>
    <w:link w:val="8"/>
    <w:semiHidden/>
    <w:qFormat/>
    <w:uiPriority w:val="9"/>
    <w:rPr>
      <w:rFonts w:ascii="Tahoma" w:hAnsi="Tahoma" w:eastAsia="微软雅黑"/>
      <w:b/>
      <w:bCs/>
      <w:kern w:val="0"/>
      <w:sz w:val="24"/>
      <w:szCs w:val="24"/>
    </w:rPr>
  </w:style>
  <w:style w:type="character" w:customStyle="1" w:styleId="20">
    <w:name w:val="Header Char"/>
    <w:basedOn w:val="12"/>
    <w:link w:val="10"/>
    <w:qFormat/>
    <w:locked/>
    <w:uiPriority w:val="99"/>
    <w:rPr>
      <w:rFonts w:ascii="Tahoma" w:hAnsi="Tahoma" w:eastAsia="微软雅黑" w:cs="Times New Roman"/>
      <w:sz w:val="18"/>
      <w:szCs w:val="18"/>
    </w:rPr>
  </w:style>
  <w:style w:type="character" w:customStyle="1" w:styleId="21">
    <w:name w:val="Footer Char"/>
    <w:basedOn w:val="12"/>
    <w:link w:val="9"/>
    <w:qFormat/>
    <w:locked/>
    <w:uiPriority w:val="99"/>
    <w:rPr>
      <w:rFonts w:ascii="Tahoma" w:hAnsi="Tahoma" w:eastAsia="微软雅黑"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2</Pages>
  <Words>669</Words>
  <Characters>772</Characters>
  <Lines>0</Lines>
  <Paragraphs>0</Paragraphs>
  <TotalTime>42</TotalTime>
  <ScaleCrop>false</ScaleCrop>
  <LinksUpToDate>false</LinksUpToDate>
  <CharactersWithSpaces>788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2022-03-28T05:07:00Z</dcterms:created>
  <dc:creator>laugh and grow fat</dc:creator>
  <cp:lastModifiedBy>後來</cp:lastModifiedBy>
  <dcterms:modified xsi:type="dcterms:W3CDTF">2023-07-18T02:22:01Z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5785DDC792F8406A8D02AACB12843AB5</vt:lpwstr>
  </property>
</Properties>
</file>