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40" w:lineRule="exact"/>
        <w:outlineLvl w:val="0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after="0" w:line="540" w:lineRule="exact"/>
        <w:jc w:val="center"/>
        <w:outlineLvl w:val="0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本次检验项目</w:t>
      </w:r>
    </w:p>
    <w:p>
      <w:pPr>
        <w:numPr>
          <w:ilvl w:val="0"/>
          <w:numId w:val="1"/>
        </w:numPr>
        <w:spacing w:after="0" w:line="540" w:lineRule="exact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餐饮食品</w:t>
      </w:r>
    </w:p>
    <w:p>
      <w:pPr>
        <w:numPr>
          <w:ilvl w:val="0"/>
          <w:numId w:val="2"/>
        </w:numPr>
        <w:spacing w:after="0" w:line="540" w:lineRule="exact"/>
        <w:ind w:firstLine="482" w:firstLineChars="150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spacing w:after="0" w:line="540" w:lineRule="exact"/>
        <w:ind w:firstLine="640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</w:t>
      </w:r>
      <w:r>
        <w:rPr>
          <w:rFonts w:ascii="仿宋_GB2312" w:hAnsi="黑体" w:eastAsia="仿宋_GB2312"/>
          <w:sz w:val="32"/>
          <w:szCs w:val="32"/>
        </w:rPr>
        <w:t>GB 2760-2014</w:t>
      </w:r>
      <w:r>
        <w:rPr>
          <w:rFonts w:hint="eastAsia" w:ascii="仿宋_GB2312" w:hAnsi="黑体" w:eastAsia="仿宋_GB2312"/>
          <w:sz w:val="32"/>
          <w:szCs w:val="32"/>
        </w:rPr>
        <w:t>《食品安全国家标准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食品添加剂使用标准》、</w:t>
      </w:r>
      <w:r>
        <w:rPr>
          <w:rFonts w:ascii="仿宋_GB2312" w:hAnsi="黑体" w:eastAsia="仿宋_GB2312"/>
          <w:sz w:val="32"/>
          <w:szCs w:val="32"/>
        </w:rPr>
        <w:t>GB 2762-2017</w:t>
      </w:r>
      <w:r>
        <w:rPr>
          <w:rFonts w:hint="eastAsia" w:ascii="仿宋_GB2312" w:hAnsi="黑体" w:eastAsia="仿宋_GB2312"/>
          <w:sz w:val="32"/>
          <w:szCs w:val="32"/>
        </w:rPr>
        <w:t>《食品安全国家标准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食品中污染物限量》、</w:t>
      </w:r>
      <w:r>
        <w:rPr>
          <w:rFonts w:ascii="仿宋_GB2312" w:hAnsi="黑体" w:eastAsia="仿宋_GB2312"/>
          <w:sz w:val="32"/>
          <w:szCs w:val="32"/>
        </w:rPr>
        <w:t>GB 2716-2018</w:t>
      </w:r>
      <w:r>
        <w:rPr>
          <w:rFonts w:hint="eastAsia" w:ascii="仿宋_GB2312" w:hAnsi="黑体" w:eastAsia="仿宋_GB2312"/>
          <w:sz w:val="32"/>
          <w:szCs w:val="32"/>
        </w:rPr>
        <w:t>《食品安全国家标准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植物油》、</w:t>
      </w:r>
      <w:r>
        <w:rPr>
          <w:rFonts w:ascii="仿宋_GB2312" w:hAnsi="黑体" w:eastAsia="仿宋_GB2312"/>
          <w:sz w:val="32"/>
          <w:szCs w:val="32"/>
        </w:rPr>
        <w:t>GB 14934-2016</w:t>
      </w:r>
      <w:r>
        <w:rPr>
          <w:rFonts w:hint="eastAsia" w:ascii="仿宋_GB2312" w:hAnsi="黑体" w:eastAsia="仿宋_GB2312"/>
          <w:sz w:val="32"/>
          <w:szCs w:val="32"/>
        </w:rPr>
        <w:t>《食品安全国家标准消毒餐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具》、整顿办函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〔</w:t>
      </w:r>
      <w:r>
        <w:rPr>
          <w:rFonts w:ascii="仿宋_GB2312" w:hAnsi="黑体" w:eastAsia="仿宋_GB2312"/>
          <w:sz w:val="32"/>
          <w:szCs w:val="32"/>
        </w:rPr>
        <w:t>2011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〕</w:t>
      </w:r>
      <w:r>
        <w:rPr>
          <w:rFonts w:ascii="仿宋_GB2312" w:hAnsi="黑体" w:eastAsia="仿宋_GB2312"/>
          <w:sz w:val="32"/>
          <w:szCs w:val="32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号《食品中可能违法添加的非食用物质和易滥用的食品添加剂品种名单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第五批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》、食品整治办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〔</w:t>
      </w:r>
      <w:r>
        <w:rPr>
          <w:rFonts w:ascii="仿宋_GB2312" w:hAnsi="黑体" w:eastAsia="仿宋_GB2312"/>
          <w:sz w:val="32"/>
          <w:szCs w:val="32"/>
        </w:rPr>
        <w:t>2008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〕</w:t>
      </w:r>
      <w:r>
        <w:rPr>
          <w:rFonts w:ascii="仿宋_GB2312" w:hAnsi="黑体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号《食品中可能违法添加的非食用物质和易滥用的食品添加剂品种名单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第一批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》。</w:t>
      </w:r>
    </w:p>
    <w:p>
      <w:pPr>
        <w:spacing w:after="0" w:line="540" w:lineRule="exact"/>
        <w:ind w:firstLine="482" w:firstLineChars="150"/>
        <w:outlineLvl w:val="1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（二）检验项目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1.</w:t>
      </w:r>
      <w:r>
        <w:rPr>
          <w:rFonts w:hint="eastAsia" w:ascii="仿宋_GB2312" w:hAnsi="黑体" w:eastAsia="仿宋_GB2312"/>
          <w:sz w:val="32"/>
          <w:szCs w:val="32"/>
        </w:rPr>
        <w:t>复用餐饮具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餐馆自行消毒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的抽检项目包括阴离子合成洗涤剂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以十二烷基苯磺酸钠计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、大肠菌群；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2.</w:t>
      </w:r>
      <w: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复用餐饮具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集中清洗消毒服务单位消毒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的抽检项目包括阴离子合成洗涤剂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以十二烷基苯磺酸钠计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、大肠菌群；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3.</w:t>
      </w:r>
      <w: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煎炸过程用油的抽检项目包括酸价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ascii="仿宋_GB2312" w:hAnsi="黑体" w:eastAsia="仿宋_GB2312"/>
          <w:sz w:val="32"/>
          <w:szCs w:val="32"/>
        </w:rPr>
        <w:t>KOH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、极性组分；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4.</w:t>
      </w:r>
      <w: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酱卤肉制品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自制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的抽检项目包括铬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</w:t>
      </w:r>
      <w:r>
        <w:rPr>
          <w:rFonts w:ascii="仿宋_GB2312" w:hAnsi="黑体" w:eastAsia="仿宋_GB2312"/>
          <w:sz w:val="32"/>
          <w:szCs w:val="32"/>
        </w:rPr>
        <w:t>Cr</w:t>
      </w:r>
      <w:r>
        <w:rPr>
          <w:rFonts w:hint="eastAsia" w:ascii="仿宋_GB2312" w:hAnsi="黑体" w:eastAsia="仿宋_GB2312"/>
          <w:sz w:val="32"/>
          <w:szCs w:val="32"/>
        </w:rPr>
        <w:t>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、氯霉素、铅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</w:t>
      </w:r>
      <w:r>
        <w:rPr>
          <w:rFonts w:ascii="仿宋_GB2312" w:hAnsi="黑体" w:eastAsia="仿宋_GB2312"/>
          <w:sz w:val="32"/>
          <w:szCs w:val="32"/>
        </w:rPr>
        <w:t>Pb</w:t>
      </w:r>
      <w:r>
        <w:rPr>
          <w:rFonts w:hint="eastAsia" w:ascii="仿宋_GB2312" w:hAnsi="黑体" w:eastAsia="仿宋_GB2312"/>
          <w:sz w:val="32"/>
          <w:szCs w:val="32"/>
        </w:rPr>
        <w:t>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、总砷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</w:t>
      </w:r>
      <w:r>
        <w:rPr>
          <w:rFonts w:ascii="仿宋_GB2312" w:hAnsi="黑体" w:eastAsia="仿宋_GB2312"/>
          <w:sz w:val="32"/>
          <w:szCs w:val="32"/>
        </w:rPr>
        <w:t>As</w:t>
      </w:r>
      <w:r>
        <w:rPr>
          <w:rFonts w:hint="eastAsia" w:ascii="仿宋_GB2312" w:hAnsi="黑体" w:eastAsia="仿宋_GB2312"/>
          <w:sz w:val="32"/>
          <w:szCs w:val="32"/>
        </w:rPr>
        <w:t>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、酸性橙Ⅱ、亚硝酸盐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以亚硝酸钠计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、苯甲酸及其钠盐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以苯甲酸计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、胭脂红、纳他霉素；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5.</w:t>
      </w:r>
      <w: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熏烧烤肉类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自制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的抽检项目包括糖精钠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以糖精计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、苯甲酸及其钠盐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以苯甲酸计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、脱氢乙酸及其钠盐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以脱氢乙酸计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、山梨酸及其钾盐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以山梨酸计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after="0" w:line="540" w:lineRule="exact"/>
        <w:jc w:val="both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豆制品</w:t>
      </w:r>
    </w:p>
    <w:p>
      <w:pPr>
        <w:spacing w:after="0" w:line="540" w:lineRule="exact"/>
        <w:ind w:firstLine="643" w:firstLineChars="200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（一）抽检依据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</w:t>
      </w:r>
      <w:r>
        <w:rPr>
          <w:rFonts w:ascii="仿宋_GB2312" w:hAnsi="黑体" w:eastAsia="仿宋_GB2312"/>
          <w:sz w:val="32"/>
          <w:szCs w:val="32"/>
        </w:rPr>
        <w:t>GB 2760-2014</w:t>
      </w:r>
      <w:r>
        <w:rPr>
          <w:rFonts w:hint="eastAsia" w:ascii="仿宋_GB2312" w:hAnsi="黑体" w:eastAsia="仿宋_GB2312"/>
          <w:sz w:val="32"/>
          <w:szCs w:val="32"/>
        </w:rPr>
        <w:t>《食品安全国家标准食品添加剂使用标准》。</w:t>
      </w:r>
    </w:p>
    <w:p>
      <w:pPr>
        <w:spacing w:after="0" w:line="54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（二）检验项目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1.</w:t>
      </w:r>
      <w: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豆干、豆腐、豆皮等的抽检项目包括山梨酸及其钾盐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以山梨酸计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、苯甲酸及其钠盐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以苯甲酸计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、脱氢乙酸及其钠盐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以脱氢乙酸计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after="0" w:line="540" w:lineRule="exact"/>
        <w:jc w:val="both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蜂产品</w:t>
      </w:r>
    </w:p>
    <w:p>
      <w:pPr>
        <w:numPr>
          <w:ilvl w:val="0"/>
          <w:numId w:val="3"/>
        </w:numPr>
        <w:spacing w:after="0" w:line="540" w:lineRule="exact"/>
        <w:ind w:firstLine="643" w:firstLineChars="200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</w:t>
      </w:r>
      <w:r>
        <w:rPr>
          <w:rFonts w:ascii="仿宋_GB2312" w:hAnsi="黑体" w:eastAsia="仿宋_GB2312"/>
          <w:sz w:val="32"/>
          <w:szCs w:val="32"/>
        </w:rPr>
        <w:t>GB 2760-2014</w:t>
      </w:r>
      <w:r>
        <w:rPr>
          <w:rFonts w:hint="eastAsia" w:ascii="仿宋_GB2312" w:hAnsi="黑体" w:eastAsia="仿宋_GB2312"/>
          <w:sz w:val="32"/>
          <w:szCs w:val="32"/>
        </w:rPr>
        <w:t>《食品安全国家标准食品添加剂使用标准》、</w:t>
      </w:r>
      <w:r>
        <w:rPr>
          <w:rFonts w:ascii="仿宋_GB2312" w:hAnsi="黑体" w:eastAsia="仿宋_GB2312"/>
          <w:sz w:val="32"/>
          <w:szCs w:val="32"/>
        </w:rPr>
        <w:t>GB 14963-2011</w:t>
      </w:r>
      <w:r>
        <w:rPr>
          <w:rFonts w:hint="eastAsia" w:ascii="仿宋_GB2312" w:hAnsi="黑体" w:eastAsia="仿宋_GB2312"/>
          <w:sz w:val="32"/>
          <w:szCs w:val="32"/>
        </w:rPr>
        <w:t>《食品安全国家标准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蜂蜜》。</w:t>
      </w:r>
    </w:p>
    <w:p>
      <w:pPr>
        <w:numPr>
          <w:ilvl w:val="0"/>
          <w:numId w:val="3"/>
        </w:numPr>
        <w:spacing w:after="0" w:line="540" w:lineRule="exact"/>
        <w:ind w:firstLine="643" w:firstLineChars="200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1.</w:t>
      </w:r>
      <w:r>
        <w:rPr>
          <w:rFonts w:hint="eastAsia" w:ascii="仿宋_GB2312" w:hAnsi="黑体" w:eastAsia="仿宋_GB2312"/>
          <w:sz w:val="32"/>
          <w:szCs w:val="32"/>
        </w:rPr>
        <w:t>蜂蜜的抽检项目包括蔗糖、山梨酸及其钾盐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以山梨酸计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、菌落总数、果糖和葡萄糖。</w:t>
      </w:r>
    </w:p>
    <w:p>
      <w:pPr>
        <w:numPr>
          <w:ilvl w:val="0"/>
          <w:numId w:val="1"/>
        </w:numPr>
        <w:spacing w:after="0" w:line="540" w:lineRule="exact"/>
        <w:jc w:val="both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糕点</w:t>
      </w:r>
    </w:p>
    <w:p>
      <w:pPr>
        <w:numPr>
          <w:ilvl w:val="0"/>
          <w:numId w:val="4"/>
        </w:numPr>
        <w:spacing w:after="0" w:line="540" w:lineRule="exact"/>
        <w:ind w:firstLine="643" w:firstLineChars="200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</w:t>
      </w:r>
      <w:r>
        <w:rPr>
          <w:rFonts w:ascii="仿宋_GB2312" w:hAnsi="黑体" w:eastAsia="仿宋_GB2312"/>
          <w:sz w:val="32"/>
          <w:szCs w:val="32"/>
        </w:rPr>
        <w:t>GB 2760-2014</w:t>
      </w:r>
      <w:r>
        <w:rPr>
          <w:rFonts w:hint="eastAsia" w:ascii="仿宋_GB2312" w:hAnsi="黑体" w:eastAsia="仿宋_GB2312"/>
          <w:sz w:val="32"/>
          <w:szCs w:val="32"/>
        </w:rPr>
        <w:t>《食品安全国家标准食品添加剂使用标准》。</w:t>
      </w:r>
    </w:p>
    <w:p>
      <w:pPr>
        <w:numPr>
          <w:ilvl w:val="0"/>
          <w:numId w:val="4"/>
        </w:numPr>
        <w:spacing w:after="0" w:line="540" w:lineRule="exact"/>
        <w:ind w:firstLine="643" w:firstLineChars="200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1.</w:t>
      </w:r>
      <w:r>
        <w:rPr>
          <w:rFonts w:hint="eastAsia" w:ascii="仿宋_GB2312" w:hAnsi="黑体" w:eastAsia="仿宋_GB2312"/>
          <w:sz w:val="32"/>
          <w:szCs w:val="32"/>
        </w:rPr>
        <w:t>糕点的抽检项目包括脱氢乙酸及其钠盐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以脱氢乙酸计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、丙酸及其钠盐、钙盐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以丙酸计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、糖精钠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以糖精计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、苯甲酸及其钠盐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以苯甲酸计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、山梨酸及其钾盐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以山梨酸计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after="0" w:line="540" w:lineRule="exact"/>
        <w:jc w:val="both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酒类</w:t>
      </w:r>
    </w:p>
    <w:p>
      <w:pPr>
        <w:numPr>
          <w:ilvl w:val="0"/>
          <w:numId w:val="5"/>
        </w:numPr>
        <w:spacing w:after="0" w:line="540" w:lineRule="exact"/>
        <w:ind w:firstLine="643" w:firstLineChars="200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</w:t>
      </w:r>
      <w:r>
        <w:rPr>
          <w:rFonts w:ascii="仿宋_GB2312" w:hAnsi="黑体" w:eastAsia="仿宋_GB2312"/>
          <w:sz w:val="32"/>
          <w:szCs w:val="32"/>
        </w:rPr>
        <w:t>GB 2760-2014</w:t>
      </w:r>
      <w:r>
        <w:rPr>
          <w:rFonts w:hint="eastAsia" w:ascii="仿宋_GB2312" w:hAnsi="黑体" w:eastAsia="仿宋_GB2312"/>
          <w:sz w:val="32"/>
          <w:szCs w:val="32"/>
        </w:rPr>
        <w:t>《食品安全国家标准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食品添加剂使用标准》、</w:t>
      </w:r>
      <w:r>
        <w:rPr>
          <w:rFonts w:ascii="仿宋_GB2312" w:hAnsi="黑体" w:eastAsia="仿宋_GB2312"/>
          <w:sz w:val="32"/>
          <w:szCs w:val="32"/>
        </w:rPr>
        <w:t>GB 2757-2012</w:t>
      </w:r>
      <w:r>
        <w:rPr>
          <w:rFonts w:hint="eastAsia" w:ascii="仿宋_GB2312" w:hAnsi="黑体" w:eastAsia="仿宋_GB2312"/>
          <w:sz w:val="32"/>
          <w:szCs w:val="32"/>
        </w:rPr>
        <w:t>《食品安全国家标准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蒸馏酒及其配制酒》。</w:t>
      </w:r>
    </w:p>
    <w:p>
      <w:pPr>
        <w:numPr>
          <w:ilvl w:val="0"/>
          <w:numId w:val="5"/>
        </w:numPr>
        <w:spacing w:after="0" w:line="540" w:lineRule="exact"/>
        <w:ind w:firstLine="643" w:firstLineChars="200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1.</w:t>
      </w:r>
      <w:r>
        <w:rPr>
          <w:rFonts w:hint="eastAsia" w:ascii="仿宋_GB2312" w:hAnsi="黑体" w:eastAsia="仿宋_GB2312"/>
          <w:sz w:val="32"/>
          <w:szCs w:val="32"/>
        </w:rPr>
        <w:t>果酒的抽检项目包括糖精钠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以糖精计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、二氧化硫残留量；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2.</w:t>
      </w:r>
      <w: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白酒、白酒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液态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、白酒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原酒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的抽检项目包括甜蜜素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以环己基氨基磺酸计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、氰化物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</w:t>
      </w:r>
      <w:r>
        <w:rPr>
          <w:rFonts w:ascii="仿宋_GB2312" w:hAnsi="黑体" w:eastAsia="仿宋_GB2312"/>
          <w:sz w:val="32"/>
          <w:szCs w:val="32"/>
        </w:rPr>
        <w:t>HCN</w:t>
      </w:r>
      <w:r>
        <w:rPr>
          <w:rFonts w:hint="eastAsia" w:ascii="仿宋_GB2312" w:hAnsi="黑体" w:eastAsia="仿宋_GB2312"/>
          <w:sz w:val="32"/>
          <w:szCs w:val="32"/>
        </w:rPr>
        <w:t>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）（</w:t>
      </w:r>
      <w:r>
        <w:rPr>
          <w:rFonts w:hint="eastAsia" w:ascii="仿宋_GB2312" w:hAnsi="黑体" w:eastAsia="仿宋_GB2312"/>
          <w:sz w:val="32"/>
          <w:szCs w:val="32"/>
        </w:rPr>
        <w:t>按</w:t>
      </w:r>
      <w:r>
        <w:rPr>
          <w:rFonts w:ascii="仿宋_GB2312" w:hAnsi="黑体" w:eastAsia="仿宋_GB2312"/>
          <w:sz w:val="32"/>
          <w:szCs w:val="32"/>
        </w:rPr>
        <w:t>100%</w:t>
      </w:r>
      <w:r>
        <w:rPr>
          <w:rFonts w:hint="eastAsia" w:ascii="仿宋_GB2312" w:hAnsi="黑体" w:eastAsia="仿宋_GB2312"/>
          <w:sz w:val="32"/>
          <w:szCs w:val="32"/>
        </w:rPr>
        <w:t>酒精度折算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、甲醇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按</w:t>
      </w:r>
      <w:r>
        <w:rPr>
          <w:rFonts w:ascii="仿宋_GB2312" w:hAnsi="黑体" w:eastAsia="仿宋_GB2312"/>
          <w:sz w:val="32"/>
          <w:szCs w:val="32"/>
        </w:rPr>
        <w:t>100%</w:t>
      </w:r>
      <w:r>
        <w:rPr>
          <w:rFonts w:hint="eastAsia" w:ascii="仿宋_GB2312" w:hAnsi="黑体" w:eastAsia="仿宋_GB2312"/>
          <w:sz w:val="32"/>
          <w:szCs w:val="32"/>
        </w:rPr>
        <w:t>酒精度折算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after="0" w:line="540" w:lineRule="exact"/>
        <w:jc w:val="both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粮食加工品</w:t>
      </w:r>
    </w:p>
    <w:p>
      <w:pPr>
        <w:numPr>
          <w:ilvl w:val="0"/>
          <w:numId w:val="6"/>
        </w:numPr>
        <w:spacing w:after="0" w:line="540" w:lineRule="exact"/>
        <w:ind w:firstLine="643" w:firstLineChars="200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</w:t>
      </w:r>
      <w:r>
        <w:rPr>
          <w:rFonts w:ascii="仿宋_GB2312" w:hAnsi="黑体" w:eastAsia="仿宋_GB2312"/>
          <w:sz w:val="32"/>
          <w:szCs w:val="32"/>
        </w:rPr>
        <w:t>GB 2760-2014</w:t>
      </w:r>
      <w:r>
        <w:rPr>
          <w:rFonts w:hint="eastAsia" w:ascii="仿宋_GB2312" w:hAnsi="黑体" w:eastAsia="仿宋_GB2312"/>
          <w:sz w:val="32"/>
          <w:szCs w:val="32"/>
        </w:rPr>
        <w:t>《食品安全国家标准食品添加剂使用标准》、</w:t>
      </w:r>
      <w:r>
        <w:rPr>
          <w:rFonts w:ascii="仿宋_GB2312" w:hAnsi="黑体" w:eastAsia="仿宋_GB2312"/>
          <w:sz w:val="32"/>
          <w:szCs w:val="32"/>
        </w:rPr>
        <w:t>GB 2761-2017</w:t>
      </w:r>
      <w:r>
        <w:rPr>
          <w:rFonts w:hint="eastAsia" w:ascii="仿宋_GB2312" w:hAnsi="黑体" w:eastAsia="仿宋_GB2312"/>
          <w:sz w:val="32"/>
          <w:szCs w:val="32"/>
        </w:rPr>
        <w:t>《食品安全国家标准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食品中真菌毒素限量》、</w:t>
      </w:r>
      <w:r>
        <w:rPr>
          <w:rFonts w:ascii="仿宋_GB2312" w:hAnsi="黑体" w:eastAsia="仿宋_GB2312"/>
          <w:sz w:val="32"/>
          <w:szCs w:val="32"/>
        </w:rPr>
        <w:t>GB 2762-2017</w:t>
      </w:r>
      <w:r>
        <w:rPr>
          <w:rFonts w:hint="eastAsia" w:ascii="仿宋_GB2312" w:hAnsi="黑体" w:eastAsia="仿宋_GB2312"/>
          <w:sz w:val="32"/>
          <w:szCs w:val="32"/>
        </w:rPr>
        <w:t>《食品安全国家标准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食品中污染物限量》、国家卫生健康委公告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〔</w:t>
      </w:r>
      <w:r>
        <w:rPr>
          <w:rFonts w:ascii="仿宋_GB2312" w:hAnsi="黑体" w:eastAsia="仿宋_GB2312"/>
          <w:sz w:val="32"/>
          <w:szCs w:val="32"/>
        </w:rPr>
        <w:t>2011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〕</w:t>
      </w:r>
      <w:r>
        <w:rPr>
          <w:rFonts w:hint="eastAsia" w:ascii="仿宋_GB2312" w:hAnsi="黑体" w:eastAsia="仿宋_GB2312"/>
          <w:sz w:val="32"/>
          <w:szCs w:val="32"/>
        </w:rPr>
        <w:t>第</w:t>
      </w:r>
      <w:r>
        <w:rPr>
          <w:rFonts w:ascii="仿宋_GB2312" w:hAnsi="黑体" w:eastAsia="仿宋_GB2312"/>
          <w:sz w:val="32"/>
          <w:szCs w:val="32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号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卫生部等</w:t>
      </w:r>
      <w:r>
        <w:rPr>
          <w:rFonts w:ascii="仿宋_GB2312" w:hAnsi="黑体" w:eastAsia="仿宋_GB2312"/>
          <w:sz w:val="32"/>
          <w:szCs w:val="32"/>
        </w:rPr>
        <w:t>7</w:t>
      </w:r>
      <w:r>
        <w:rPr>
          <w:rFonts w:hint="eastAsia" w:ascii="仿宋_GB2312" w:hAnsi="黑体" w:eastAsia="仿宋_GB2312"/>
          <w:sz w:val="32"/>
          <w:szCs w:val="32"/>
        </w:rPr>
        <w:t>部门《关于撤销食品添加剂过氧化苯甲酰、过氧化钙的公告》、产品明示标准和质量要求。</w:t>
      </w:r>
    </w:p>
    <w:p>
      <w:pPr>
        <w:numPr>
          <w:ilvl w:val="0"/>
          <w:numId w:val="6"/>
        </w:numPr>
        <w:spacing w:after="0" w:line="540" w:lineRule="exact"/>
        <w:ind w:firstLine="643" w:firstLineChars="200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1.</w:t>
      </w:r>
      <w:r>
        <w:rPr>
          <w:rFonts w:hint="eastAsia" w:ascii="仿宋_GB2312" w:hAnsi="黑体" w:eastAsia="仿宋_GB2312"/>
          <w:sz w:val="32"/>
          <w:szCs w:val="32"/>
        </w:rPr>
        <w:t>小麦粉的抽检项目包括镉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</w:t>
      </w:r>
      <w:r>
        <w:rPr>
          <w:rFonts w:ascii="仿宋_GB2312" w:hAnsi="黑体" w:eastAsia="仿宋_GB2312"/>
          <w:sz w:val="32"/>
          <w:szCs w:val="32"/>
        </w:rPr>
        <w:t>Cd</w:t>
      </w:r>
      <w:r>
        <w:rPr>
          <w:rFonts w:hint="eastAsia" w:ascii="仿宋_GB2312" w:hAnsi="黑体" w:eastAsia="仿宋_GB2312"/>
          <w:sz w:val="32"/>
          <w:szCs w:val="32"/>
        </w:rPr>
        <w:t>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、过氧化苯甲酰、脱氧雪腐镰刀菌烯醇；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2.</w:t>
      </w:r>
      <w:r>
        <w:rPr>
          <w:rFonts w:hint="eastAsia" w:ascii="仿宋_GB2312" w:hAnsi="黑体" w:eastAsia="仿宋_GB2312"/>
          <w:sz w:val="32"/>
          <w:szCs w:val="32"/>
        </w:rPr>
        <w:t>挂面的抽检项目包括铅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</w:t>
      </w:r>
      <w:r>
        <w:rPr>
          <w:rFonts w:ascii="仿宋_GB2312" w:hAnsi="黑体" w:eastAsia="仿宋_GB2312"/>
          <w:sz w:val="32"/>
          <w:szCs w:val="32"/>
        </w:rPr>
        <w:t>Pb</w:t>
      </w:r>
      <w:r>
        <w:rPr>
          <w:rFonts w:hint="eastAsia" w:ascii="仿宋_GB2312" w:hAnsi="黑体" w:eastAsia="仿宋_GB2312"/>
          <w:sz w:val="32"/>
          <w:szCs w:val="32"/>
        </w:rPr>
        <w:t>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脱氢乙酸及其钠盐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以脱氢乙酸计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；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3.</w:t>
      </w:r>
      <w:r>
        <w:rPr>
          <w:rFonts w:hint="eastAsia" w:ascii="仿宋_GB2312" w:hAnsi="黑体" w:eastAsia="仿宋_GB2312"/>
          <w:sz w:val="32"/>
          <w:szCs w:val="32"/>
        </w:rPr>
        <w:t>发酵面制品的抽检项目包括苯甲酸及其钠盐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以苯甲酸计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、山梨酸及其钾盐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以山梨酸计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、糖精钠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以糖精计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after="0" w:line="540" w:lineRule="exact"/>
        <w:jc w:val="both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肉制品</w:t>
      </w:r>
    </w:p>
    <w:p>
      <w:pPr>
        <w:numPr>
          <w:ilvl w:val="0"/>
          <w:numId w:val="7"/>
        </w:numPr>
        <w:spacing w:after="0" w:line="540" w:lineRule="exact"/>
        <w:ind w:firstLine="643" w:firstLineChars="200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</w:t>
      </w:r>
      <w:r>
        <w:rPr>
          <w:rFonts w:ascii="仿宋_GB2312" w:hAnsi="黑体" w:eastAsia="仿宋_GB2312"/>
          <w:sz w:val="32"/>
          <w:szCs w:val="32"/>
        </w:rPr>
        <w:t>GB 2760-2014</w:t>
      </w:r>
      <w:r>
        <w:rPr>
          <w:rFonts w:hint="eastAsia" w:ascii="仿宋_GB2312" w:hAnsi="黑体" w:eastAsia="仿宋_GB2312"/>
          <w:sz w:val="32"/>
          <w:szCs w:val="32"/>
        </w:rPr>
        <w:t>《食品安全国家标准食品添加剂使用标准》。</w:t>
      </w:r>
    </w:p>
    <w:p>
      <w:pPr>
        <w:numPr>
          <w:ilvl w:val="0"/>
          <w:numId w:val="7"/>
        </w:numPr>
        <w:spacing w:after="0" w:line="540" w:lineRule="exact"/>
        <w:ind w:firstLine="643" w:firstLineChars="200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1.</w:t>
      </w:r>
      <w: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酱卤肉制品的抽检项目包括胭脂红、脱氢乙酸及其钠盐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以脱氢乙酸计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、山梨酸及其钾盐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以山梨酸计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、苯甲酸及其钠盐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以苯甲酸计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after="0" w:line="540" w:lineRule="exact"/>
        <w:jc w:val="both"/>
        <w:outlineLvl w:val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薯类和膨化食品</w:t>
      </w:r>
    </w:p>
    <w:p>
      <w:pPr>
        <w:numPr>
          <w:ilvl w:val="0"/>
          <w:numId w:val="8"/>
        </w:numPr>
        <w:spacing w:after="0" w:line="540" w:lineRule="exact"/>
        <w:ind w:firstLine="643" w:firstLineChars="200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spacing w:after="0" w:line="540" w:lineRule="exact"/>
        <w:ind w:firstLine="640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</w:t>
      </w:r>
      <w:r>
        <w:rPr>
          <w:rFonts w:ascii="仿宋_GB2312" w:hAnsi="黑体" w:eastAsia="仿宋_GB2312"/>
          <w:sz w:val="32"/>
          <w:szCs w:val="32"/>
        </w:rPr>
        <w:t>GB 2760-2014</w:t>
      </w:r>
      <w:r>
        <w:rPr>
          <w:rFonts w:hint="eastAsia" w:ascii="仿宋_GB2312" w:hAnsi="黑体" w:eastAsia="仿宋_GB2312"/>
          <w:sz w:val="32"/>
          <w:szCs w:val="32"/>
        </w:rPr>
        <w:t>《食品安全国家标准食品添加剂使用标准》、</w:t>
      </w:r>
      <w:r>
        <w:rPr>
          <w:rFonts w:ascii="仿宋_GB2312" w:hAnsi="黑体" w:eastAsia="仿宋_GB2312"/>
          <w:sz w:val="32"/>
          <w:szCs w:val="32"/>
        </w:rPr>
        <w:t>GB 2762-2017</w:t>
      </w:r>
      <w:r>
        <w:rPr>
          <w:rFonts w:hint="eastAsia" w:ascii="仿宋_GB2312" w:hAnsi="黑体" w:eastAsia="仿宋_GB2312"/>
          <w:sz w:val="32"/>
          <w:szCs w:val="32"/>
        </w:rPr>
        <w:t>《食品安全国家标准食品中污染物限量》。</w:t>
      </w:r>
    </w:p>
    <w:p>
      <w:pPr>
        <w:numPr>
          <w:ilvl w:val="0"/>
          <w:numId w:val="8"/>
        </w:numPr>
        <w:spacing w:after="0" w:line="540" w:lineRule="exact"/>
        <w:ind w:firstLine="643" w:firstLineChars="200"/>
        <w:outlineLvl w:val="1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1.</w:t>
      </w:r>
      <w: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其他薯类食品的抽检项目包括铅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</w:t>
      </w:r>
      <w:r>
        <w:rPr>
          <w:rFonts w:ascii="仿宋_GB2312" w:hAnsi="黑体" w:eastAsia="仿宋_GB2312"/>
          <w:sz w:val="32"/>
          <w:szCs w:val="32"/>
        </w:rPr>
        <w:t>Pb</w:t>
      </w:r>
      <w:r>
        <w:rPr>
          <w:rFonts w:hint="eastAsia" w:ascii="仿宋_GB2312" w:hAnsi="黑体" w:eastAsia="仿宋_GB2312"/>
          <w:sz w:val="32"/>
          <w:szCs w:val="32"/>
        </w:rPr>
        <w:t>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after="0" w:line="540" w:lineRule="exact"/>
        <w:jc w:val="both"/>
        <w:outlineLvl w:val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调味品</w:t>
      </w:r>
    </w:p>
    <w:p>
      <w:pPr>
        <w:numPr>
          <w:ilvl w:val="0"/>
          <w:numId w:val="9"/>
        </w:numPr>
        <w:spacing w:after="0" w:line="540" w:lineRule="exact"/>
        <w:ind w:firstLine="643" w:firstLineChars="200"/>
        <w:outlineLvl w:val="1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spacing w:after="0" w:line="540" w:lineRule="exact"/>
        <w:ind w:firstLine="640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抽检依据是</w:t>
      </w:r>
      <w:r>
        <w:rPr>
          <w:rFonts w:ascii="仿宋_GB2312" w:hAnsi="黑体" w:eastAsia="仿宋_GB2312"/>
          <w:sz w:val="32"/>
          <w:szCs w:val="32"/>
        </w:rPr>
        <w:t>GB 2760-2014</w:t>
      </w:r>
      <w:r>
        <w:rPr>
          <w:rFonts w:hint="eastAsia" w:ascii="仿宋_GB2312" w:hAnsi="黑体" w:eastAsia="仿宋_GB2312"/>
          <w:sz w:val="32"/>
          <w:szCs w:val="32"/>
        </w:rPr>
        <w:t>《食品安全国家标准食品添加剂使用标准》。</w:t>
      </w:r>
    </w:p>
    <w:p>
      <w:pPr>
        <w:numPr>
          <w:ilvl w:val="0"/>
          <w:numId w:val="9"/>
        </w:numPr>
        <w:spacing w:after="0" w:line="540" w:lineRule="exact"/>
        <w:ind w:firstLine="643" w:firstLineChars="200"/>
        <w:outlineLvl w:val="1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检验项目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1.</w:t>
      </w:r>
      <w: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>其他半固体调味料的抽检项目包括脱氢乙酸及其钠盐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以脱氢乙酸计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、苯甲酸及其钠盐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以苯甲酸计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、山梨酸及其钾盐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以山梨酸计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bookmarkEnd w:id="0"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E9E23B"/>
    <w:multiLevelType w:val="singleLevel"/>
    <w:tmpl w:val="B4E9E23B"/>
    <w:lvl w:ilvl="0" w:tentative="0">
      <w:start w:val="1"/>
      <w:numFmt w:val="chineseCounting"/>
      <w:suff w:val="nothing"/>
      <w:lvlText w:val="（%1）"/>
      <w:lvlJc w:val="left"/>
      <w:rPr>
        <w:rFonts w:hint="eastAsia" w:cs="Times New Roman"/>
        <w:b/>
        <w:bCs/>
      </w:rPr>
    </w:lvl>
  </w:abstractNum>
  <w:abstractNum w:abstractNumId="1">
    <w:nsid w:val="D62794D7"/>
    <w:multiLevelType w:val="singleLevel"/>
    <w:tmpl w:val="D62794D7"/>
    <w:lvl w:ilvl="0" w:tentative="0">
      <w:start w:val="1"/>
      <w:numFmt w:val="chineseCounting"/>
      <w:suff w:val="nothing"/>
      <w:lvlText w:val="（%1）"/>
      <w:lvlJc w:val="left"/>
      <w:rPr>
        <w:rFonts w:hint="eastAsia" w:cs="Times New Roman"/>
      </w:rPr>
    </w:lvl>
  </w:abstractNum>
  <w:abstractNum w:abstractNumId="2">
    <w:nsid w:val="D6CCE9DB"/>
    <w:multiLevelType w:val="singleLevel"/>
    <w:tmpl w:val="D6CCE9DB"/>
    <w:lvl w:ilvl="0" w:tentative="0">
      <w:start w:val="1"/>
      <w:numFmt w:val="chineseCounting"/>
      <w:suff w:val="nothing"/>
      <w:lvlText w:val="（%1）"/>
      <w:lvlJc w:val="left"/>
      <w:rPr>
        <w:rFonts w:hint="eastAsia" w:cs="Times New Roman"/>
      </w:rPr>
    </w:lvl>
  </w:abstractNum>
  <w:abstractNum w:abstractNumId="3">
    <w:nsid w:val="E35AB7DC"/>
    <w:multiLevelType w:val="singleLevel"/>
    <w:tmpl w:val="E35AB7DC"/>
    <w:lvl w:ilvl="0" w:tentative="0">
      <w:start w:val="1"/>
      <w:numFmt w:val="chineseCounting"/>
      <w:suff w:val="nothing"/>
      <w:lvlText w:val="（%1）"/>
      <w:lvlJc w:val="left"/>
      <w:rPr>
        <w:rFonts w:hint="eastAsia" w:cs="Times New Roman"/>
      </w:rPr>
    </w:lvl>
  </w:abstractNum>
  <w:abstractNum w:abstractNumId="4">
    <w:nsid w:val="EA43B944"/>
    <w:multiLevelType w:val="singleLevel"/>
    <w:tmpl w:val="EA43B944"/>
    <w:lvl w:ilvl="0" w:tentative="0">
      <w:start w:val="1"/>
      <w:numFmt w:val="chineseCounting"/>
      <w:suff w:val="nothing"/>
      <w:lvlText w:val="（%1）"/>
      <w:lvlJc w:val="left"/>
      <w:rPr>
        <w:rFonts w:hint="eastAsia" w:cs="Times New Roman"/>
      </w:rPr>
    </w:lvl>
  </w:abstractNum>
  <w:abstractNum w:abstractNumId="5">
    <w:nsid w:val="EB4C1F6C"/>
    <w:multiLevelType w:val="singleLevel"/>
    <w:tmpl w:val="EB4C1F6C"/>
    <w:lvl w:ilvl="0" w:tentative="0">
      <w:start w:val="1"/>
      <w:numFmt w:val="chineseCounting"/>
      <w:suff w:val="nothing"/>
      <w:lvlText w:val="（%1）"/>
      <w:lvlJc w:val="left"/>
      <w:rPr>
        <w:rFonts w:hint="eastAsia" w:cs="Times New Roman"/>
      </w:rPr>
    </w:lvl>
  </w:abstractNum>
  <w:abstractNum w:abstractNumId="6">
    <w:nsid w:val="1F22E84D"/>
    <w:multiLevelType w:val="singleLevel"/>
    <w:tmpl w:val="1F22E84D"/>
    <w:lvl w:ilvl="0" w:tentative="0">
      <w:start w:val="1"/>
      <w:numFmt w:val="chineseCounting"/>
      <w:suff w:val="nothing"/>
      <w:lvlText w:val="%1、"/>
      <w:lvlJc w:val="left"/>
      <w:pPr>
        <w:ind w:firstLine="420"/>
      </w:pPr>
      <w:rPr>
        <w:rFonts w:hint="eastAsia" w:ascii="黑体" w:hAnsi="黑体" w:eastAsia="黑体" w:cs="黑体"/>
        <w:sz w:val="32"/>
        <w:szCs w:val="32"/>
      </w:rPr>
    </w:lvl>
  </w:abstractNum>
  <w:abstractNum w:abstractNumId="7">
    <w:nsid w:val="2D1B4CBB"/>
    <w:multiLevelType w:val="singleLevel"/>
    <w:tmpl w:val="2D1B4CBB"/>
    <w:lvl w:ilvl="0" w:tentative="0">
      <w:start w:val="1"/>
      <w:numFmt w:val="chineseCounting"/>
      <w:suff w:val="nothing"/>
      <w:lvlText w:val="（%1）"/>
      <w:lvlJc w:val="left"/>
      <w:rPr>
        <w:rFonts w:hint="eastAsia" w:cs="Times New Roman"/>
      </w:rPr>
    </w:lvl>
  </w:abstractNum>
  <w:abstractNum w:abstractNumId="8">
    <w:nsid w:val="48704716"/>
    <w:multiLevelType w:val="singleLevel"/>
    <w:tmpl w:val="48704716"/>
    <w:lvl w:ilvl="0" w:tentative="0">
      <w:start w:val="1"/>
      <w:numFmt w:val="chineseCounting"/>
      <w:suff w:val="nothing"/>
      <w:lvlText w:val="（%1）"/>
      <w:lvlJc w:val="left"/>
      <w:rPr>
        <w:rFonts w:hint="eastAsia" w:cs="Times New Roman"/>
        <w:b/>
        <w:bCs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I5NWYwODhiZDI5OGFkN2Q2OGNiMWM4NTExYzAyNTkifQ=="/>
  </w:docVars>
  <w:rsids>
    <w:rsidRoot w:val="13ED2AE1"/>
    <w:rsid w:val="00014901"/>
    <w:rsid w:val="002342CE"/>
    <w:rsid w:val="004B6094"/>
    <w:rsid w:val="0060654D"/>
    <w:rsid w:val="00700E70"/>
    <w:rsid w:val="00964A20"/>
    <w:rsid w:val="00A34240"/>
    <w:rsid w:val="00B41701"/>
    <w:rsid w:val="00D4562F"/>
    <w:rsid w:val="00D77842"/>
    <w:rsid w:val="01256EF0"/>
    <w:rsid w:val="032640B7"/>
    <w:rsid w:val="04AF718C"/>
    <w:rsid w:val="04B403C6"/>
    <w:rsid w:val="0B123C38"/>
    <w:rsid w:val="0C053963"/>
    <w:rsid w:val="0EB3632D"/>
    <w:rsid w:val="0F176051"/>
    <w:rsid w:val="13ED2AE1"/>
    <w:rsid w:val="148876BD"/>
    <w:rsid w:val="15033573"/>
    <w:rsid w:val="165434B0"/>
    <w:rsid w:val="16B25A48"/>
    <w:rsid w:val="1A3C145A"/>
    <w:rsid w:val="1EE1053D"/>
    <w:rsid w:val="1FCB2529"/>
    <w:rsid w:val="2D0F6B01"/>
    <w:rsid w:val="2E3E316C"/>
    <w:rsid w:val="2F4D3910"/>
    <w:rsid w:val="37D54F27"/>
    <w:rsid w:val="38301DBE"/>
    <w:rsid w:val="39361F1D"/>
    <w:rsid w:val="3CF163D1"/>
    <w:rsid w:val="40A77CE0"/>
    <w:rsid w:val="4180507D"/>
    <w:rsid w:val="43D8736E"/>
    <w:rsid w:val="45AB2550"/>
    <w:rsid w:val="481316CF"/>
    <w:rsid w:val="48A22238"/>
    <w:rsid w:val="49FD6C71"/>
    <w:rsid w:val="4B681523"/>
    <w:rsid w:val="4B8D4B4A"/>
    <w:rsid w:val="4EB3122E"/>
    <w:rsid w:val="51EE06FB"/>
    <w:rsid w:val="55322CF2"/>
    <w:rsid w:val="57160009"/>
    <w:rsid w:val="5C8210D4"/>
    <w:rsid w:val="5E445DC2"/>
    <w:rsid w:val="5F3D0F4D"/>
    <w:rsid w:val="5F435DA8"/>
    <w:rsid w:val="62B63B02"/>
    <w:rsid w:val="65F36D5E"/>
    <w:rsid w:val="6A410CE0"/>
    <w:rsid w:val="6A4454E8"/>
    <w:rsid w:val="70363C29"/>
    <w:rsid w:val="713118C3"/>
    <w:rsid w:val="72356103"/>
    <w:rsid w:val="779B3146"/>
    <w:rsid w:val="7DB5388B"/>
    <w:rsid w:val="7E227E4E"/>
    <w:rsid w:val="7E645D4D"/>
    <w:rsid w:val="7F92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5"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6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17"/>
    <w:qFormat/>
    <w:uiPriority w:val="99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18"/>
    <w:qFormat/>
    <w:uiPriority w:val="99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19"/>
    <w:qFormat/>
    <w:uiPriority w:val="99"/>
    <w:pPr>
      <w:keepNext/>
      <w:keepLines/>
      <w:spacing w:before="240" w:after="64" w:line="317" w:lineRule="auto"/>
      <w:outlineLvl w:val="6"/>
    </w:pPr>
    <w:rPr>
      <w:b/>
      <w:sz w:val="24"/>
    </w:rPr>
  </w:style>
  <w:style w:type="character" w:default="1" w:styleId="12">
    <w:name w:val="Default Paragraph Font"/>
    <w:semiHidden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3">
    <w:name w:val="Heading 1 Char"/>
    <w:basedOn w:val="12"/>
    <w:link w:val="2"/>
    <w:uiPriority w:val="9"/>
    <w:rPr>
      <w:rFonts w:ascii="Tahoma" w:hAnsi="Tahoma" w:eastAsia="微软雅黑"/>
      <w:b/>
      <w:bCs/>
      <w:kern w:val="44"/>
      <w:sz w:val="44"/>
      <w:szCs w:val="44"/>
    </w:rPr>
  </w:style>
  <w:style w:type="character" w:customStyle="1" w:styleId="14">
    <w:name w:val="Heading 2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15">
    <w:name w:val="Heading 3 Char"/>
    <w:basedOn w:val="12"/>
    <w:link w:val="4"/>
    <w:semiHidden/>
    <w:qFormat/>
    <w:uiPriority w:val="9"/>
    <w:rPr>
      <w:rFonts w:ascii="Tahoma" w:hAnsi="Tahoma" w:eastAsia="微软雅黑"/>
      <w:b/>
      <w:bCs/>
      <w:kern w:val="0"/>
      <w:sz w:val="32"/>
      <w:szCs w:val="32"/>
    </w:rPr>
  </w:style>
  <w:style w:type="character" w:customStyle="1" w:styleId="16">
    <w:name w:val="Heading 4 Char"/>
    <w:basedOn w:val="12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character" w:customStyle="1" w:styleId="17">
    <w:name w:val="Heading 5 Char"/>
    <w:basedOn w:val="12"/>
    <w:link w:val="6"/>
    <w:semiHidden/>
    <w:qFormat/>
    <w:uiPriority w:val="9"/>
    <w:rPr>
      <w:rFonts w:ascii="Tahoma" w:hAnsi="Tahoma" w:eastAsia="微软雅黑"/>
      <w:b/>
      <w:bCs/>
      <w:kern w:val="0"/>
      <w:sz w:val="28"/>
      <w:szCs w:val="28"/>
    </w:rPr>
  </w:style>
  <w:style w:type="character" w:customStyle="1" w:styleId="18">
    <w:name w:val="Heading 6 Char"/>
    <w:basedOn w:val="12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4"/>
      <w:szCs w:val="24"/>
    </w:rPr>
  </w:style>
  <w:style w:type="character" w:customStyle="1" w:styleId="19">
    <w:name w:val="Heading 7 Char"/>
    <w:basedOn w:val="12"/>
    <w:link w:val="8"/>
    <w:semiHidden/>
    <w:qFormat/>
    <w:uiPriority w:val="9"/>
    <w:rPr>
      <w:rFonts w:ascii="Tahoma" w:hAnsi="Tahoma" w:eastAsia="微软雅黑"/>
      <w:b/>
      <w:bCs/>
      <w:kern w:val="0"/>
      <w:sz w:val="24"/>
      <w:szCs w:val="24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Header Char"/>
    <w:basedOn w:val="12"/>
    <w:link w:val="10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22">
    <w:name w:val="Footer Char"/>
    <w:basedOn w:val="12"/>
    <w:link w:val="9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1497</Words>
  <Characters>1704</Characters>
  <Lines>0</Lines>
  <Paragraphs>0</Paragraphs>
  <TotalTime>31</TotalTime>
  <ScaleCrop>false</ScaleCrop>
  <LinksUpToDate>false</LinksUpToDate>
  <CharactersWithSpaces>1739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2022-03-28T05:07:00Z</dcterms:created>
  <dc:creator>laugh and grow fat</dc:creator>
  <cp:lastModifiedBy>後來</cp:lastModifiedBy>
  <dcterms:modified xsi:type="dcterms:W3CDTF">2023-07-18T02:28:47Z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5785DDC792F8406A8D02AACB12843AB5</vt:lpwstr>
  </property>
</Properties>
</file>