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67CC1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napToGrid w:val="0"/>
          <w:color w:val="000000"/>
          <w:spacing w:val="0"/>
          <w:sz w:val="44"/>
          <w:szCs w:val="44"/>
        </w:rPr>
      </w:pPr>
    </w:p>
    <w:p w14:paraId="2215EA8C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napToGrid w:val="0"/>
          <w:color w:val="000000"/>
          <w:spacing w:val="0"/>
          <w:sz w:val="44"/>
          <w:szCs w:val="44"/>
        </w:rPr>
      </w:pPr>
    </w:p>
    <w:p w14:paraId="0FADBCC1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eastAsia="方正小标宋简体"/>
          <w:snapToGrid w:val="0"/>
          <w:color w:val="000000"/>
          <w:spacing w:val="0"/>
          <w:sz w:val="44"/>
          <w:szCs w:val="44"/>
        </w:rPr>
      </w:pPr>
    </w:p>
    <w:p w14:paraId="548EACCF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eastAsia="方正小标宋简体"/>
          <w:snapToGrid w:val="0"/>
          <w:color w:val="000000"/>
          <w:spacing w:val="0"/>
          <w:sz w:val="44"/>
          <w:szCs w:val="44"/>
        </w:rPr>
      </w:pPr>
    </w:p>
    <w:p w14:paraId="33E44739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佛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数政函</w:t>
      </w:r>
      <w:r>
        <w:rPr>
          <w:rFonts w:hint="eastAsia" w:ascii="仿宋_GB2312" w:eastAsia="仿宋_GB2312"/>
          <w:color w:val="000000"/>
          <w:sz w:val="32"/>
          <w:szCs w:val="32"/>
        </w:rPr>
        <w:t>〔20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 w14:paraId="72E24DBD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</w:rPr>
      </w:pPr>
    </w:p>
    <w:p w14:paraId="6CAC2976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/>
          <w:spacing w:val="0"/>
          <w:sz w:val="44"/>
          <w:szCs w:val="44"/>
        </w:rPr>
      </w:pPr>
    </w:p>
    <w:p w14:paraId="6B763326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pacing w:val="0"/>
          <w:sz w:val="44"/>
          <w:szCs w:val="44"/>
        </w:rPr>
        <w:t>关于</w:t>
      </w:r>
      <w:r>
        <w:rPr>
          <w:rFonts w:hint="eastAsia" w:ascii="方正小标宋简体" w:eastAsia="方正小标宋简体"/>
          <w:spacing w:val="0"/>
          <w:sz w:val="44"/>
          <w:szCs w:val="44"/>
          <w:lang w:val="en-US" w:eastAsia="zh-CN"/>
        </w:rPr>
        <w:t>佛坪县银金公路瓦寨子段改建工程</w:t>
      </w:r>
    </w:p>
    <w:p w14:paraId="15C09B1A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pacing w:val="0"/>
          <w:sz w:val="44"/>
          <w:szCs w:val="44"/>
        </w:rPr>
      </w:pPr>
      <w:r>
        <w:rPr>
          <w:rFonts w:hint="eastAsia" w:ascii="方正小标宋简体" w:eastAsia="方正小标宋简体"/>
          <w:spacing w:val="0"/>
          <w:sz w:val="44"/>
          <w:szCs w:val="44"/>
          <w:lang w:val="en-US" w:eastAsia="zh-CN"/>
        </w:rPr>
        <w:t>环境影响报告表的</w:t>
      </w:r>
      <w:r>
        <w:rPr>
          <w:rFonts w:hint="eastAsia" w:ascii="方正小标宋简体" w:eastAsia="方正小标宋简体"/>
          <w:color w:val="000000"/>
          <w:spacing w:val="0"/>
          <w:sz w:val="44"/>
          <w:szCs w:val="44"/>
        </w:rPr>
        <w:t>批复</w:t>
      </w:r>
    </w:p>
    <w:p w14:paraId="269A1D4B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pacing w:val="0"/>
          <w:sz w:val="32"/>
          <w:szCs w:val="32"/>
        </w:rPr>
      </w:pPr>
    </w:p>
    <w:p w14:paraId="2647157A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eastAsia="仿宋_GB2312" w:cs="宋体"/>
          <w:spacing w:val="0"/>
          <w:kern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佛坪县交通运输局：</w:t>
      </w:r>
    </w:p>
    <w:p w14:paraId="4DEEF585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pacing w:val="0"/>
          <w:kern w:val="0"/>
          <w:sz w:val="32"/>
          <w:szCs w:val="32"/>
        </w:rPr>
      </w:pP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你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报来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的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《佛坪县银金公路瓦寨子段改建工程环境影响报告表》（简称《报告表》）收悉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经研究，审查意见如下：</w:t>
      </w:r>
    </w:p>
    <w:p w14:paraId="5F9BAED5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/>
          <w:spacing w:val="0"/>
          <w:sz w:val="32"/>
          <w:szCs w:val="32"/>
        </w:rPr>
      </w:pPr>
      <w:r>
        <w:rPr>
          <w:rFonts w:hint="eastAsia" w:ascii="黑体" w:hAnsi="黑体" w:eastAsia="黑体"/>
          <w:spacing w:val="0"/>
          <w:sz w:val="32"/>
          <w:szCs w:val="32"/>
        </w:rPr>
        <w:t>一、项目基本情况及</w:t>
      </w:r>
      <w:r>
        <w:rPr>
          <w:rFonts w:hint="eastAsia" w:ascii="黑体" w:hAnsi="黑体" w:eastAsia="黑体"/>
          <w:spacing w:val="0"/>
          <w:sz w:val="32"/>
          <w:szCs w:val="32"/>
          <w:lang w:eastAsia="zh-CN"/>
        </w:rPr>
        <w:t>审查</w:t>
      </w:r>
      <w:r>
        <w:rPr>
          <w:rFonts w:hint="eastAsia" w:ascii="黑体" w:hAnsi="黑体" w:eastAsia="黑体"/>
          <w:spacing w:val="0"/>
          <w:sz w:val="32"/>
          <w:szCs w:val="32"/>
        </w:rPr>
        <w:t>意见</w:t>
      </w:r>
    </w:p>
    <w:p w14:paraId="2E2106D2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宋体"/>
          <w:spacing w:val="0"/>
          <w:kern w:val="0"/>
          <w:sz w:val="32"/>
          <w:szCs w:val="32"/>
          <w:highlight w:val="yellow"/>
        </w:rPr>
      </w:pP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</w:rPr>
        <w:t>工程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  <w:t>全线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</w:rPr>
        <w:t>采用四级公路标准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  <w:t>进行建设，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拟永久用地范围涉及</w:t>
      </w:r>
      <w:r>
        <w:rPr>
          <w:rFonts w:hint="default" w:ascii="仿宋_GB2312" w:eastAsia="仿宋_GB2312" w:cs="宋体"/>
          <w:spacing w:val="0"/>
          <w:kern w:val="0"/>
          <w:sz w:val="32"/>
          <w:szCs w:val="32"/>
          <w:highlight w:val="none"/>
          <w:lang w:val="fi-FI"/>
        </w:rPr>
        <w:t>占用天然林，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</w:rPr>
        <w:t>所在区域属于陕西省水土流失重点预防区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  <w:t>。工程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</w:rPr>
        <w:t>起点位于西岔河镇瓦寨子叉沟，顺接现有银金公路，路线沿旧路向东布设，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</w:rPr>
        <w:t>设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130m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</w:rPr>
        <w:t>短隧道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  <w:t>一座穿山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</w:rPr>
        <w:t>后布设新线，路线终点于瓦寨子东侧顺接旧路，路线总长6.763km。其中旧路补强改造4.625km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</w:rPr>
        <w:t>其余2.138km为完全新建道路。</w:t>
      </w:r>
      <w:r>
        <w:rPr>
          <w:rFonts w:hint="eastAsia" w:ascii="仿宋_GB2312" w:eastAsia="仿宋_GB2312" w:cs="宋体"/>
          <w:color w:val="auto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主要建设内容包括主体工程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（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路基工程、路面工程、24道涵洞、1座隧道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  <w:vertAlign w:val="baseline"/>
          <w:lang w:val="en-US" w:eastAsia="zh-CN"/>
        </w:rPr>
        <w:t>）、辅助工程（路基路面排水工程、交叉工程、交通工程及沿线设施）、临时工程（1处弃渣场、2处临时施工场地、给水、供电）和环保工程（废水、废气、噪声和固废处置设施等）。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</w:rPr>
        <w:t>总投资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4797.6223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  <w:t>，其中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</w:rPr>
        <w:t>环保投资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</w:rPr>
        <w:t>占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  <w:t>总投资的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2.08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</w:rPr>
        <w:t>％。</w:t>
      </w:r>
    </w:p>
    <w:p w14:paraId="1C4D801C">
      <w:pPr>
        <w:pStyle w:val="9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cs="宋体"/>
          <w:spacing w:val="0"/>
          <w:kern w:val="0"/>
          <w:sz w:val="32"/>
          <w:szCs w:val="32"/>
        </w:rPr>
      </w:pP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经审查，该项目在全面落实《报告表》及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审查意见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中提出的各项污染防治措施和环境风险防范措施的前提下，从环境保护角度分析，同意按照《报告表》确定的项目规模、地点、内容和环境保护对策措施进行建设。</w:t>
      </w:r>
    </w:p>
    <w:p w14:paraId="6595FA4B">
      <w:pPr>
        <w:pStyle w:val="9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/>
          <w:spacing w:val="0"/>
          <w:sz w:val="32"/>
          <w:szCs w:val="32"/>
        </w:rPr>
      </w:pPr>
      <w:r>
        <w:rPr>
          <w:rFonts w:hint="eastAsia" w:ascii="黑体" w:hAnsi="黑体" w:eastAsia="黑体"/>
          <w:spacing w:val="0"/>
          <w:sz w:val="32"/>
          <w:szCs w:val="32"/>
        </w:rPr>
        <w:t>二、项目建设和运营</w:t>
      </w:r>
      <w:r>
        <w:rPr>
          <w:rFonts w:hint="eastAsia" w:ascii="黑体" w:hAnsi="黑体" w:eastAsia="黑体"/>
          <w:spacing w:val="0"/>
          <w:sz w:val="32"/>
          <w:szCs w:val="32"/>
          <w:lang w:eastAsia="zh-CN"/>
        </w:rPr>
        <w:t>过程</w:t>
      </w:r>
      <w:r>
        <w:rPr>
          <w:rFonts w:hint="eastAsia" w:ascii="黑体" w:hAnsi="黑体" w:eastAsia="黑体"/>
          <w:spacing w:val="0"/>
          <w:sz w:val="32"/>
          <w:szCs w:val="32"/>
          <w:lang w:val="en-US" w:eastAsia="zh-CN"/>
        </w:rPr>
        <w:t>中</w:t>
      </w:r>
      <w:r>
        <w:rPr>
          <w:rFonts w:hint="eastAsia" w:ascii="黑体" w:hAnsi="黑体" w:eastAsia="黑体"/>
          <w:spacing w:val="0"/>
          <w:sz w:val="32"/>
          <w:szCs w:val="32"/>
        </w:rPr>
        <w:t>应重点做好以下工作</w:t>
      </w:r>
    </w:p>
    <w:p w14:paraId="5F5001F6">
      <w:pPr>
        <w:pStyle w:val="9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yellow"/>
        </w:rPr>
      </w:pPr>
      <w:r>
        <w:rPr>
          <w:rFonts w:hint="eastAsia" w:ascii="仿宋_GB2312" w:eastAsia="仿宋_GB2312"/>
          <w:spacing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" w:eastAsia="仿宋_GB2312"/>
          <w:spacing w:val="0"/>
          <w:sz w:val="32"/>
          <w:szCs w:val="32"/>
          <w:highlight w:val="none"/>
        </w:rPr>
        <w:t>严格执行环境质量执行标准</w:t>
      </w:r>
      <w:r>
        <w:rPr>
          <w:rFonts w:hint="eastAsia" w:ascii="仿宋_GB2312" w:hAnsi="仿宋" w:eastAsia="仿宋_GB2312"/>
          <w:spacing w:val="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" w:eastAsia="仿宋_GB2312"/>
          <w:spacing w:val="0"/>
          <w:sz w:val="32"/>
          <w:szCs w:val="32"/>
          <w:highlight w:val="none"/>
        </w:rPr>
        <w:t>污染物排放标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</w:rPr>
        <w:t>准。</w:t>
      </w:r>
    </w:p>
    <w:p w14:paraId="0D954C82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yellow"/>
        </w:rPr>
      </w:pP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2.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严格落实《报告表》提出的各项污染防治、生态恢复和环境管理措施。</w:t>
      </w:r>
    </w:p>
    <w:p w14:paraId="47ED4B13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加强大气污染防治。施工期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严控道路及施工扬尘、施工机械废气、沥青烟等，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严格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落实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围挡、物料覆盖、车辆冲洗、湿法作业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等措施，并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做好现场管理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。拌合站原料筒仓安装布袋除尘器，破碎筛分工序采用湿法作业，修建封闭厂房；砂石骨料堆场采取半封闭式储存，三面围挡，加盖彩钢瓦顶棚，同时设置喷淋洒水降尘设施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;加强对除尘设施的定期维护清理，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临时施工场地采取硬化处理，定期对地面及车辆进行冲洗，做好场地周边道路降尘。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运营期加强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道路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养护及清扫，规范车辆运行。严格落实大气污染预警管控指令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，严禁随意露天焚烧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。</w:t>
      </w:r>
    </w:p>
    <w:p w14:paraId="5F28DE29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pacing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4.加强水污染防治。</w:t>
      </w:r>
      <w:r>
        <w:rPr>
          <w:rFonts w:hint="eastAsia" w:ascii="仿宋_GB2312" w:hAnsi="仿宋" w:eastAsia="仿宋_GB2312"/>
          <w:spacing w:val="0"/>
          <w:sz w:val="32"/>
          <w:szCs w:val="32"/>
          <w:highlight w:val="none"/>
          <w:lang w:val="en-US" w:eastAsia="zh-CN"/>
        </w:rPr>
        <w:t>禁止新建污水排放口。施工废水、盖板预制养护废水及车辆冲洗废水处理后循环利用，生活污水处理后综合利用，项目实施期间产生的污水严禁以任何形式外排。临时堆场、混凝土搅拌站</w:t>
      </w:r>
      <w:r>
        <w:rPr>
          <w:rFonts w:hint="eastAsia" w:ascii="仿宋_GB2312" w:hAnsi="仿宋" w:eastAsia="仿宋_GB2312"/>
          <w:spacing w:val="0"/>
          <w:sz w:val="32"/>
          <w:szCs w:val="32"/>
          <w:highlight w:val="none"/>
          <w:lang w:val="en-US" w:eastAsia="zh-CN"/>
        </w:rPr>
        <w:t>等不得设在河流、沟渠等水体附近，桥涵工程避免汛期、丰水期施工，施工废渣运至陆上处理，不得弃于河道、沟渠。加强农村饮用水源保护，确保群众饮水安全。</w:t>
      </w:r>
    </w:p>
    <w:p w14:paraId="6125AC62">
      <w:pPr>
        <w:pStyle w:val="9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5.加强噪声污染防治。选用低噪声设备和工艺，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加强设备日常检修和维护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。合理制定施工计划，晚上十点至次日早晨六点之间，禁止开展因生产工艺要求或者特殊需要必须施工以外的其他作业。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加强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交通管控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措施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确保运营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期间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区域环境噪声达标。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严格按照</w:t>
      </w:r>
      <w:r>
        <w:rPr>
          <w:rFonts w:hint="eastAsia" w:ascii="仿宋_GB2312" w:hAns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  <w:t>《中华人民共和国噪声污染防治法》有关规定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执行。</w:t>
      </w:r>
    </w:p>
    <w:p w14:paraId="615000D4">
      <w:pPr>
        <w:pStyle w:val="9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宋体"/>
          <w:color w:val="auto"/>
          <w:spacing w:val="0"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宋体"/>
          <w:spacing w:val="0"/>
          <w:kern w:val="0"/>
          <w:sz w:val="32"/>
          <w:szCs w:val="32"/>
          <w:highlight w:val="none"/>
        </w:rPr>
        <w:t>加强</w:t>
      </w:r>
      <w:r>
        <w:rPr>
          <w:rFonts w:hint="eastAsia" w:ascii="仿宋_GB2312" w:hAns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  <w:t>固（危）废综合</w:t>
      </w:r>
      <w:r>
        <w:rPr>
          <w:rFonts w:hint="eastAsia" w:ascii="仿宋_GB2312" w:hAnsi="仿宋_GB2312" w:eastAsia="仿宋_GB2312" w:cs="宋体"/>
          <w:spacing w:val="0"/>
          <w:kern w:val="0"/>
          <w:sz w:val="32"/>
          <w:szCs w:val="32"/>
          <w:highlight w:val="none"/>
        </w:rPr>
        <w:t>管理。</w:t>
      </w:r>
      <w:r>
        <w:rPr>
          <w:rFonts w:hint="eastAsia" w:ascii="仿宋_GB2312" w:hAns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  <w:t>建筑垃圾、</w:t>
      </w:r>
      <w:r>
        <w:rPr>
          <w:rFonts w:hint="eastAsia" w:ascii="仿宋_GB2312" w:hAnsi="仿宋_GB2312" w:eastAsia="仿宋_GB2312" w:cs="宋体"/>
          <w:spacing w:val="0"/>
          <w:kern w:val="0"/>
          <w:sz w:val="32"/>
          <w:szCs w:val="32"/>
          <w:highlight w:val="none"/>
        </w:rPr>
        <w:t>生活垃圾</w:t>
      </w:r>
      <w:r>
        <w:rPr>
          <w:rFonts w:hint="eastAsia" w:ascii="仿宋_GB2312" w:hAns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  <w:t>等一般固体废物应妥善处理，不得随意倾倒、焚烧。废机油、废含油抹布等危险废物，及时交由资质单位安全处置，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严格按照</w:t>
      </w:r>
      <w:r>
        <w:rPr>
          <w:rFonts w:hint="eastAsia" w:ascii="仿宋_GB2312" w:hAns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  <w:t>《中华人民共和国固体废物污染环境防治法》有关规定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执行。</w:t>
      </w:r>
    </w:p>
    <w:p w14:paraId="5700E24B">
      <w:pPr>
        <w:pStyle w:val="9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pacing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" w:eastAsia="仿宋_GB2312"/>
          <w:color w:val="000000"/>
          <w:spacing w:val="0"/>
          <w:sz w:val="32"/>
          <w:szCs w:val="32"/>
          <w:highlight w:val="none"/>
          <w:lang w:val="en-US" w:eastAsia="zh-CN"/>
        </w:rPr>
        <w:t>7.落实生态保护及恢复措施。加强施工管理，避免人为破坏施工区域周边植物和物种栖息环境，项目建设结束后临时设施和相关构筑物全部清理，并做好沿线生态恢复。</w:t>
      </w:r>
    </w:p>
    <w:p w14:paraId="6FD6C699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" w:eastAsia="仿宋_GB2312"/>
          <w:color w:val="000000"/>
          <w:spacing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" w:eastAsia="仿宋_GB2312"/>
          <w:color w:val="000000"/>
          <w:spacing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" w:eastAsia="仿宋_GB2312"/>
          <w:color w:val="000000"/>
          <w:spacing w:val="0"/>
          <w:sz w:val="32"/>
          <w:szCs w:val="32"/>
          <w:highlight w:val="none"/>
          <w:lang w:eastAsia="zh-CN"/>
        </w:rPr>
        <w:t>其他事项按有关法律法规执行。</w:t>
      </w:r>
    </w:p>
    <w:p w14:paraId="47431C2D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6"/>
        <w:jc w:val="both"/>
        <w:textAlignment w:val="auto"/>
        <w:outlineLvl w:val="9"/>
        <w:rPr>
          <w:rFonts w:hint="eastAsia" w:ascii="黑体" w:hAnsi="黑体" w:eastAsia="黑体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color w:val="000000"/>
          <w:spacing w:val="0"/>
          <w:sz w:val="32"/>
          <w:szCs w:val="32"/>
        </w:rPr>
        <w:t>、严格执行环境保护管理制度</w:t>
      </w:r>
    </w:p>
    <w:p w14:paraId="110DFC4C">
      <w:pPr>
        <w:pStyle w:val="9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1.建立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健全环境管理制度，</w:t>
      </w:r>
      <w:r>
        <w:rPr>
          <w:rFonts w:hint="eastAsia" w:ascii="仿宋_GB2312" w:hAnsi="仿宋_GB2312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定期检修维护设备，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eastAsia="zh-CN"/>
        </w:rPr>
        <w:t>做好运行记录。</w:t>
      </w:r>
      <w:r>
        <w:rPr>
          <w:rFonts w:hint="eastAsia" w:ascii="仿宋_GB2312" w:hAnsi="仿宋_GB2312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规范各物料、固（危）废物等分类管理措施。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val="en-US" w:eastAsia="zh-CN"/>
        </w:rPr>
        <w:t>定期开展环境隐患排查治理，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eastAsia="zh-CN"/>
        </w:rPr>
        <w:t>防止污染事故发生，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val="en-US" w:eastAsia="zh-CN"/>
        </w:rPr>
        <w:t>确保环境安全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val="en-US" w:eastAsia="zh-CN"/>
        </w:rPr>
        <w:t>主动做好项目相关环境信访投诉办理。</w:t>
      </w:r>
    </w:p>
    <w:p w14:paraId="39C7B8FB">
      <w:pPr>
        <w:pStyle w:val="9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</w:rPr>
        <w:t>严格执行环境保护“三同时”制度。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eastAsia="zh-CN"/>
        </w:rPr>
        <w:t>依据《建设项目竣工环境保护验收暂行办法》之规定，本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</w:rPr>
        <w:t>项目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eastAsia="zh-CN"/>
        </w:rPr>
        <w:t>中拌合站等辅助工程在投入生产前，主体工程在投入使用前，应当分别进行验收，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</w:rPr>
        <w:t>并报生态环境部门备案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eastAsia="zh-CN"/>
        </w:rPr>
        <w:t>。</w:t>
      </w:r>
    </w:p>
    <w:p w14:paraId="69AD07BD">
      <w:pPr>
        <w:pStyle w:val="9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pacing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</w:rPr>
        <w:t>按照《建设项目环境影响评价信息公开机制方案》等要求，落实环境信息公开的主体责任，依法依规公开环境信息。</w:t>
      </w:r>
    </w:p>
    <w:p w14:paraId="0C970FB8">
      <w:pPr>
        <w:pStyle w:val="9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</w:rPr>
        <w:t>《报告表》经批准后，项目性质、规模、地点、采用的工艺或防治污染、防止生态破坏的措施发生重大变动，应当重新报批该项目环境影响评价文件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</w:rPr>
        <w:t>自批准之日起，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eastAsia="zh-CN"/>
        </w:rPr>
        <w:t>超过五年方决定该项目开工建设的，需重新报批环境影响评价文件。</w:t>
      </w:r>
    </w:p>
    <w:p w14:paraId="4D89D4D2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项目涉及其他行政主管部门事项的，按相关部门有关规定和意见执行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</w:t>
      </w:r>
    </w:p>
    <w:p w14:paraId="17481136">
      <w:pPr>
        <w:pStyle w:val="2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5F014E54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</w:p>
    <w:p w14:paraId="04822A7E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</w:p>
    <w:p w14:paraId="378043F3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佛坪县数据和政务服务局</w:t>
      </w:r>
    </w:p>
    <w:p w14:paraId="45ADEEC1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2026年2月14日</w:t>
      </w:r>
    </w:p>
    <w:p w14:paraId="69ECC83B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</w:p>
    <w:p w14:paraId="62009DEC">
      <w:pPr>
        <w:pStyle w:val="2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</w:p>
    <w:p w14:paraId="36F8A9BE">
      <w:pPr>
        <w:pStyle w:val="2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</w:p>
    <w:p w14:paraId="7B8D87EE">
      <w:pPr>
        <w:pStyle w:val="2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</w:p>
    <w:p w14:paraId="76D748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44371F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5494BF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67F76A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35D364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344497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5874A9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5FF1D5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176CC3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1A0383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59B84A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2E27F4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039F49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5E9579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3606A6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1DD0D3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5ABEBC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5CE275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32F9F3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1D5630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3ECE6C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4C1AE0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2B054E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4AD75B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3AE7EA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02B5FE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3712F1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16287C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6AD765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4A26E9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61D2B8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7F1026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51ED23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5BF773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681381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6E76F1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78C882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1A4437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36FA59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2B7D71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0C70E1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0B1CA0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1B7771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30242F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7B237F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16AE33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3A8AEA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4DA1DF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288BAC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46692F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3F9719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7EB25E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0D68A5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3DBB71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424385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45FF5E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抄送：市行政审批局，市生态环境局。</w:t>
      </w:r>
    </w:p>
    <w:p w14:paraId="338771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1120" w:firstLineChars="4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市生态环境局佛坪分局。</w:t>
      </w:r>
    </w:p>
    <w:p w14:paraId="7F32E080">
      <w:pPr>
        <w:tabs>
          <w:tab w:val="left" w:pos="1482"/>
        </w:tabs>
        <w:bidi w:val="0"/>
        <w:jc w:val="left"/>
        <w:rPr>
          <w:lang w:val="en-US" w:eastAsia="zh-CN"/>
        </w:rPr>
        <w:sectPr>
          <w:footerReference r:id="rId4" w:type="first"/>
          <w:footerReference r:id="rId3" w:type="default"/>
          <w:pgSz w:w="11906" w:h="16838"/>
          <w:pgMar w:top="1440" w:right="1361" w:bottom="1440" w:left="1531" w:header="851" w:footer="992" w:gutter="0"/>
          <w:pgNumType w:fmt="decimal"/>
          <w:cols w:space="720" w:num="1"/>
          <w:titlePg/>
          <w:rtlGutter w:val="0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09D70930">
      <w:r>
        <w:t>（该校对结果由AI生成）</w:t>
      </w:r>
    </w:p>
    <w:sectPr>
      <w:pgSz w:w="11906" w:h="16838"/>
      <w:pgMar w:top="1440" w:right="1361" w:bottom="1440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B6FB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24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2FD733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rtlCol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5dblS0AAAAAUBAAAPAAAAAAAAAAEAIAAAACIAAABkcnMvZG93bnJl&#10;di54bWxQSwECFAAUAAAACACHTuJAMX0VSQUCAAANBAAADgAAAAAAAAABACAAAAAf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2FD733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AD48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24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2C1A9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rtlCol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5dblS0AAAAAUBAAAPAAAAAAAAAAEAIAAAACIAAABkcnMvZG93bnJl&#10;di54bWxQSwECFAAUAAAACACHTuJAy/Zi6AUCAAANBAAADgAAAAAAAAABACAAAAAf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2C1A9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YjMxMWIyYTFlZTdjNzEzZGYxNjg0Njg1NjhiZTgifQ=="/>
  </w:docVars>
  <w:rsids>
    <w:rsidRoot w:val="00000000"/>
    <w:rsid w:val="674A2E6C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077A0501090A4B44B2F715EED49FF148_13</vt:lpwstr>
  </property>
  <property fmtid="{D5CDD505-2E9C-101B-9397-08002B2CF9AE}" pid="4" name="KSOTemplateDocerSaveRecord">
    <vt:lpwstr>eyJoZGlkIjoiNzA3NzdlMTJiM2Y5ZTM5OTdkYjY5OWRhMDNjZGU2NzciLCJ1c2VySWQiOiI2MDkxMjEyOTcifQ==</vt:lpwstr>
  </property>
</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1730</Words>
  <Characters>1785</Characters>
  <Lines>0</Lines>
  <Paragraphs>0</Paragraphs>
  <TotalTime>0</TotalTime>
  <ScaleCrop>false</ScaleCrop>
  <LinksUpToDate>false</LinksUpToDate>
  <CharactersWithSpaces>1787</CharactersWithSpaces>
  <Application>WPS Office_12.1.0.24657_F1E327BC-269C-435d-A152-05C5408002CA</Application>
  <DocSecurity>0</DocSecurity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2020-09-29T13:33:00Z</dcterms:created>
  <dc:creator>zprjh</dc:creator>
  <cp:lastModifiedBy>飓风</cp:lastModifiedBy>
  <cp:lastPrinted>2025-10-22T07:21:00Z</cp:lastPrinted>
  <dcterms:modified xsi:type="dcterms:W3CDTF">2026-02-13T06:55:56Z</dcterms:modified>
  <cp:revision>1</cp:revision>
</cp:coreProperties>
</file>

<file path=customXml/item5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2052-12.1.0.24657</vt:lpwstr>
  </property>
  <property fmtid="{D5CDD505-2E9C-101B-9397-08002B2CF9AE}" pid="3" name="ICV">
    <vt:lpwstr>077A0501090A4B44B2F715EED49FF148_13</vt:lpwstr>
  </property>
  <property fmtid="{D5CDD505-2E9C-101B-9397-08002B2CF9AE}" pid="4" name="KSOTemplateDocerSaveRecord">
    <vt:lpwstr>eyJoZGlkIjoiNzA3NzdlMTJiM2Y5ZTM5OTdkYjY5OWRhMDNjZGU2NzciLCJ1c2VySWQiOiI2MDkxMjEyOTcifQ_x003D__x003D_</vt:lpwstr>
  </property>
</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6</Pages>
  <Words>1730</Words>
  <Characters>1785</Characters>
  <Application>WPS Office_12.1.0.24657_F1E327BC-269C-435d-A152-05C5408002CA</Application>
  <DocSecurity>0</DocSecurity>
  <Lines>0</Lines>
  <Paragraphs>0</Paragraphs>
  <CharactersWithSpaces>1787</CharactersWithSpaces>
  <AppVersion>14.0000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zprjh</dc:creator>
  <cp:lastModifiedBy>飓风</cp:lastModifiedBy>
  <cp:revision>1</cp:revision>
  <cp:lastPrinted>2025-10-22T07:21:00Z</cp:lastPrinted>
  <dcterms:created xsi:type="dcterms:W3CDTF">2020-09-29T13:33:00Z</dcterms:created>
  <dcterms:modified xsi:type="dcterms:W3CDTF">2026-02-14T07:54:48Z</dcterms:modified>
</cp:cor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97990f-288f-45d8-aab0-670ef496afc8}">
  <ds:schemaRefs/>
</ds:datastoreItem>
</file>

<file path=customXml/itemProps3.xml><?xml version="1.0" encoding="utf-8"?>
<ds:datastoreItem xmlns:ds="http://schemas.openxmlformats.org/officeDocument/2006/customXml" ds:itemID="{05bb7961-2e93-4013-a8d4-06020db1ac54}">
  <ds:schemaRefs/>
</ds:datastoreItem>
</file>

<file path=customXml/itemProps4.xml><?xml version="1.0" encoding="utf-8"?>
<ds:datastoreItem xmlns:ds="http://schemas.openxmlformats.org/officeDocument/2006/customXml" ds:itemID="{b650d95f-60da-45d5-9d89-77d40bb6818c}">
  <ds:schemaRefs/>
</ds:datastoreItem>
</file>

<file path=customXml/itemProps5.xml><?xml version="1.0" encoding="utf-8"?>
<ds:datastoreItem xmlns:ds="http://schemas.openxmlformats.org/officeDocument/2006/customXml" ds:itemID="{6ba78adf-14ff-4c24-b00b-b9b4cde2e61e}">
  <ds:schemaRefs/>
</ds:datastoreItem>
</file>

<file path=customXml/itemProps6.xml><?xml version="1.0" encoding="utf-8"?>
<ds:datastoreItem xmlns:ds="http://schemas.openxmlformats.org/officeDocument/2006/customXml" ds:itemID="{add31df1-76e9-464d-b2a0-9f01b646f03e}">
  <ds:schemaRefs/>
</ds:datastoreItem>
</file>

<file path=customXml/itemProps7.xml><?xml version="1.0" encoding="utf-8"?>
<ds:datastoreItem xmlns:ds="http://schemas.openxmlformats.org/officeDocument/2006/customXml" ds:itemID="{9b6fa568-a588-4589-8408-27baffbce5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492</Words>
  <Characters>530</Characters>
  <Lines>0</Lines>
  <Paragraphs>0</Paragraphs>
  <TotalTime>1</TotalTime>
  <ScaleCrop>false</ScaleCrop>
  <LinksUpToDate>false</LinksUpToDate>
  <CharactersWithSpaces>531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2020-09-29T13:33:00Z</dcterms:created>
  <dc:creator>zprjh</dc:creator>
  <cp:lastModifiedBy>PCY</cp:lastModifiedBy>
  <cp:lastPrinted>2025-10-22T07:21:00Z</cp:lastPrinted>
  <dcterms:modified xsi:type="dcterms:W3CDTF">2026-02-14T07:58:01Z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077A0501090A4B44B2F715EED49FF148_13</vt:lpwstr>
  </property>
  <property fmtid="{D5CDD505-2E9C-101B-9397-08002B2CF9AE}" pid="4" name="KSOTemplateDocerSaveRecord">
    <vt:lpwstr>eyJoZGlkIjoiM2ZmMDdhYWVlODlhNWMyNGIwMmYwNjQ2ZjQyNDMwMDgiLCJ1c2VySWQiOiI1NzI5MTI1MzgifQ==</vt:lpwstr>
  </property>
  <property fmtid="{D5CDD505-2E9C-101B-9397-08002B2CF9AE}" pid="5" name="AIGC">
    <vt:lpwstr>{"ContentType":"Report-word","Producer":"蜜度-校对通","TaskID":"JDT_20260214_cc59c072d4194cb5b37df63e4536d50d","Timestamp":1771055699126,"Version":"wenxiu_v4.0"}</vt:lpwstr>
  </property>
</Properties>
</file>