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4A6F2">
      <w:pPr>
        <w:rPr>
          <w:rFonts w:ascii="Times New Roman" w:hAnsi="Times New Roman" w:eastAsia="宋体" w:cs="仿宋_GB2312"/>
          <w:color w:val="auto"/>
          <w:sz w:val="36"/>
          <w:szCs w:val="36"/>
          <w:highlight w:val="none"/>
        </w:rPr>
      </w:pPr>
    </w:p>
    <w:p w14:paraId="3149B4FA">
      <w:pPr>
        <w:pStyle w:val="4"/>
        <w:rPr>
          <w:color w:val="auto"/>
        </w:rPr>
      </w:pPr>
    </w:p>
    <w:p w14:paraId="1A84AB65">
      <w:pPr>
        <w:rPr>
          <w:color w:val="auto"/>
        </w:rPr>
      </w:pPr>
    </w:p>
    <w:p w14:paraId="34AD887A">
      <w:pPr>
        <w:rPr>
          <w:rFonts w:ascii="Times New Roman" w:hAnsi="Times New Roman" w:eastAsia="宋体" w:cs="仿宋_GB2312"/>
          <w:color w:val="auto"/>
          <w:sz w:val="36"/>
          <w:szCs w:val="36"/>
          <w:highlight w:val="none"/>
        </w:rPr>
      </w:pPr>
    </w:p>
    <w:p w14:paraId="304488DF">
      <w:pPr>
        <w:ind w:left="0" w:leftChars="0" w:firstLine="0" w:firstLineChars="0"/>
        <w:rPr>
          <w:rFonts w:ascii="Times New Roman" w:hAnsi="Times New Roman" w:eastAsia="宋体" w:cs="仿宋_GB2312"/>
          <w:color w:val="auto"/>
          <w:sz w:val="36"/>
          <w:szCs w:val="36"/>
          <w:highlight w:val="none"/>
        </w:rPr>
      </w:pPr>
    </w:p>
    <w:p w14:paraId="3F828FE5">
      <w:pPr>
        <w:ind w:left="0" w:leftChars="0" w:firstLine="0" w:firstLineChars="0"/>
        <w:rPr>
          <w:rFonts w:ascii="Times New Roman" w:hAnsi="Times New Roman" w:eastAsia="宋体" w:cs="仿宋_GB2312"/>
          <w:color w:val="auto"/>
          <w:sz w:val="36"/>
          <w:szCs w:val="36"/>
          <w:highlight w:val="none"/>
        </w:rPr>
      </w:pPr>
    </w:p>
    <w:p w14:paraId="7504796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outlineLvl w:val="0"/>
        <w:rPr>
          <w:rFonts w:hint="eastAsia" w:ascii="Times New Roman" w:hAnsi="Times New Roman" w:eastAsia="宋体"/>
          <w:b w:val="0"/>
          <w:bCs/>
          <w:color w:val="auto"/>
          <w:sz w:val="72"/>
          <w:szCs w:val="72"/>
          <w:highlight w:val="none"/>
        </w:rPr>
      </w:pPr>
      <w:r>
        <w:rPr>
          <w:rFonts w:hint="eastAsia" w:ascii="Times New Roman" w:hAnsi="Times New Roman" w:eastAsia="宋体"/>
          <w:b w:val="0"/>
          <w:bCs/>
          <w:color w:val="auto"/>
          <w:sz w:val="72"/>
          <w:szCs w:val="72"/>
          <w:highlight w:val="none"/>
        </w:rPr>
        <w:t>建设项目环境影响报告表</w:t>
      </w:r>
    </w:p>
    <w:p w14:paraId="7D3D49F4">
      <w:pPr>
        <w:keepNext w:val="0"/>
        <w:keepLines w:val="0"/>
        <w:pageBreakBefore w:val="0"/>
        <w:widowControl w:val="0"/>
        <w:kinsoku/>
        <w:wordWrap/>
        <w:overflowPunct/>
        <w:topLinePunct w:val="0"/>
        <w:autoSpaceDE/>
        <w:autoSpaceDN/>
        <w:bidi w:val="0"/>
        <w:adjustRightInd w:val="0"/>
        <w:snapToGrid w:val="0"/>
        <w:spacing w:before="192" w:beforeLines="80"/>
        <w:ind w:firstLine="0" w:firstLineChars="0"/>
        <w:jc w:val="center"/>
        <w:textAlignment w:val="auto"/>
        <w:rPr>
          <w:rFonts w:hint="eastAsia" w:ascii="Times New Roman" w:hAnsi="Times New Roman" w:eastAsia="宋体"/>
          <w:b w:val="0"/>
          <w:bCs/>
          <w:color w:val="auto"/>
          <w:sz w:val="48"/>
          <w:szCs w:val="48"/>
          <w:highlight w:val="none"/>
        </w:rPr>
      </w:pPr>
      <w:r>
        <w:rPr>
          <w:rFonts w:hint="eastAsia" w:ascii="Times New Roman" w:hAnsi="Times New Roman" w:eastAsia="宋体"/>
          <w:b w:val="0"/>
          <w:bCs/>
          <w:color w:val="auto"/>
          <w:sz w:val="48"/>
          <w:szCs w:val="48"/>
          <w:highlight w:val="none"/>
        </w:rPr>
        <w:t>（污染影响类）</w:t>
      </w:r>
    </w:p>
    <w:p w14:paraId="24E1EA85">
      <w:pPr>
        <w:bidi w:val="0"/>
        <w:rPr>
          <w:rFonts w:ascii="Times New Roman" w:hAnsi="Times New Roman" w:eastAsia="宋体"/>
          <w:color w:val="auto"/>
          <w:highlight w:val="none"/>
        </w:rPr>
      </w:pPr>
    </w:p>
    <w:p w14:paraId="69061CC5">
      <w:pPr>
        <w:bidi w:val="0"/>
        <w:rPr>
          <w:rFonts w:ascii="Times New Roman" w:hAnsi="Times New Roman" w:eastAsia="宋体"/>
          <w:color w:val="auto"/>
          <w:highlight w:val="none"/>
        </w:rPr>
      </w:pPr>
    </w:p>
    <w:p w14:paraId="5DE19E44">
      <w:pPr>
        <w:bidi w:val="0"/>
        <w:rPr>
          <w:rFonts w:ascii="Times New Roman" w:hAnsi="Times New Roman" w:eastAsia="宋体"/>
          <w:color w:val="auto"/>
          <w:highlight w:val="none"/>
        </w:rPr>
      </w:pPr>
    </w:p>
    <w:p w14:paraId="7D4025B5">
      <w:pPr>
        <w:pStyle w:val="2"/>
        <w:rPr>
          <w:rFonts w:ascii="Times New Roman" w:hAnsi="Times New Roman" w:eastAsia="宋体"/>
          <w:color w:val="auto"/>
          <w:highlight w:val="none"/>
        </w:rPr>
      </w:pPr>
    </w:p>
    <w:p w14:paraId="79B8625F">
      <w:pPr>
        <w:bidi w:val="0"/>
        <w:rPr>
          <w:rFonts w:ascii="Times New Roman" w:hAnsi="Times New Roman" w:eastAsia="宋体"/>
          <w:color w:val="auto"/>
          <w:highlight w:val="none"/>
        </w:rPr>
      </w:pPr>
    </w:p>
    <w:p w14:paraId="6D7AB018">
      <w:pPr>
        <w:pStyle w:val="2"/>
        <w:rPr>
          <w:color w:val="auto"/>
        </w:rPr>
      </w:pPr>
    </w:p>
    <w:p w14:paraId="6074E6CA">
      <w:pPr>
        <w:bidi w:val="0"/>
        <w:rPr>
          <w:rFonts w:ascii="Times New Roman" w:hAnsi="Times New Roman" w:eastAsia="宋体"/>
          <w:color w:val="auto"/>
          <w:highlight w:val="none"/>
        </w:rPr>
      </w:pPr>
    </w:p>
    <w:p w14:paraId="0406AC11">
      <w:pPr>
        <w:bidi w:val="0"/>
        <w:rPr>
          <w:rFonts w:ascii="Times New Roman" w:hAnsi="Times New Roman" w:eastAsia="宋体"/>
          <w:color w:val="auto"/>
          <w:highlight w:val="none"/>
        </w:rPr>
      </w:pPr>
    </w:p>
    <w:p w14:paraId="59DCEEB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00"/>
        <w:jc w:val="left"/>
        <w:textAlignment w:val="auto"/>
        <w:rPr>
          <w:rFonts w:hint="default" w:ascii="Times New Roman" w:hAnsi="Times New Roman" w:eastAsia="宋体"/>
          <w:color w:val="auto"/>
          <w:sz w:val="36"/>
          <w:szCs w:val="36"/>
          <w:highlight w:val="none"/>
          <w:u w:val="single"/>
          <w:lang w:val="en-US"/>
        </w:rPr>
      </w:pPr>
      <w:bookmarkStart w:id="0" w:name="OLE_LINK13"/>
      <w:r>
        <w:rPr>
          <w:rFonts w:hint="eastAsia" w:ascii="Times New Roman" w:hAnsi="Times New Roman" w:eastAsia="宋体"/>
          <w:color w:val="auto"/>
          <w:sz w:val="36"/>
          <w:szCs w:val="36"/>
          <w:highlight w:val="none"/>
        </w:rPr>
        <w:t>项目名称：</w:t>
      </w:r>
      <w:bookmarkEnd w:id="0"/>
      <w:r>
        <w:rPr>
          <w:rFonts w:hint="eastAsia"/>
          <w:color w:val="auto"/>
          <w:sz w:val="36"/>
          <w:szCs w:val="36"/>
          <w:highlight w:val="none"/>
          <w:u w:val="single"/>
          <w:lang w:val="en-US" w:eastAsia="zh-CN"/>
        </w:rPr>
        <w:t>佛坪县山茱萸发酵(含脱醇)酒改建项目</w:t>
      </w:r>
    </w:p>
    <w:p w14:paraId="21BB739C">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100"/>
        <w:textAlignment w:val="auto"/>
        <w:rPr>
          <w:rFonts w:hint="eastAsia"/>
          <w:color w:val="auto"/>
          <w:sz w:val="36"/>
          <w:szCs w:val="36"/>
          <w:highlight w:val="none"/>
          <w:u w:val="single"/>
          <w:lang w:val="en-US" w:eastAsia="zh-CN"/>
        </w:rPr>
      </w:pPr>
      <w:r>
        <w:rPr>
          <w:rFonts w:hint="eastAsia" w:ascii="Times New Roman" w:hAnsi="Times New Roman" w:eastAsia="宋体"/>
          <w:color w:val="auto"/>
          <w:sz w:val="36"/>
          <w:szCs w:val="36"/>
          <w:highlight w:val="none"/>
        </w:rPr>
        <w:t>建设单位：</w:t>
      </w:r>
      <w:bookmarkStart w:id="1" w:name="OLE_LINK24"/>
      <w:r>
        <w:rPr>
          <w:rFonts w:hint="eastAsia"/>
          <w:color w:val="auto"/>
          <w:sz w:val="36"/>
          <w:szCs w:val="36"/>
          <w:highlight w:val="none"/>
          <w:u w:val="single"/>
          <w:lang w:val="en-US" w:eastAsia="zh-CN"/>
        </w:rPr>
        <w:t xml:space="preserve">   </w:t>
      </w:r>
      <w:bookmarkEnd w:id="1"/>
      <w:r>
        <w:rPr>
          <w:rFonts w:hint="eastAsia"/>
          <w:color w:val="auto"/>
          <w:sz w:val="36"/>
          <w:szCs w:val="36"/>
          <w:highlight w:val="none"/>
          <w:u w:val="single"/>
          <w:lang w:val="en-US" w:eastAsia="zh-CN"/>
        </w:rPr>
        <w:t xml:space="preserve">陕西浓情秦泉酒业有限责任公司  </w:t>
      </w:r>
    </w:p>
    <w:p w14:paraId="1D1A56D8">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100"/>
        <w:textAlignment w:val="auto"/>
        <w:rPr>
          <w:rFonts w:hint="eastAsia" w:ascii="Times New Roman" w:hAnsi="Times New Roman" w:eastAsia="宋体"/>
          <w:color w:val="auto"/>
          <w:sz w:val="36"/>
          <w:szCs w:val="36"/>
          <w:highlight w:val="none"/>
          <w:u w:val="single"/>
        </w:rPr>
      </w:pPr>
      <w:r>
        <w:rPr>
          <w:rFonts w:hint="eastAsia" w:ascii="Times New Roman" w:hAnsi="Times New Roman" w:eastAsia="宋体"/>
          <w:color w:val="auto"/>
          <w:sz w:val="36"/>
          <w:szCs w:val="36"/>
          <w:highlight w:val="none"/>
        </w:rPr>
        <w:t>编制日期：</w:t>
      </w:r>
      <w:r>
        <w:rPr>
          <w:rFonts w:hint="eastAsia" w:ascii="Times New Roman" w:hAnsi="Times New Roman" w:eastAsia="宋体"/>
          <w:color w:val="auto"/>
          <w:sz w:val="36"/>
          <w:szCs w:val="36"/>
          <w:highlight w:val="none"/>
          <w:u w:val="single"/>
        </w:rPr>
        <w:t xml:space="preserve"> </w:t>
      </w:r>
      <w:r>
        <w:rPr>
          <w:rFonts w:ascii="Times New Roman" w:hAnsi="Times New Roman" w:eastAsia="宋体"/>
          <w:color w:val="auto"/>
          <w:sz w:val="36"/>
          <w:szCs w:val="36"/>
          <w:highlight w:val="none"/>
          <w:u w:val="single"/>
        </w:rPr>
        <w:t xml:space="preserve"> </w:t>
      </w:r>
      <w:r>
        <w:rPr>
          <w:rFonts w:hint="eastAsia"/>
          <w:color w:val="auto"/>
          <w:sz w:val="36"/>
          <w:szCs w:val="36"/>
          <w:highlight w:val="none"/>
          <w:u w:val="single"/>
          <w:lang w:val="en-US" w:eastAsia="zh-CN"/>
        </w:rPr>
        <w:t xml:space="preserve"> </w:t>
      </w:r>
      <w:r>
        <w:rPr>
          <w:rFonts w:ascii="Times New Roman" w:hAnsi="Times New Roman" w:eastAsia="宋体"/>
          <w:color w:val="auto"/>
          <w:sz w:val="36"/>
          <w:szCs w:val="36"/>
          <w:highlight w:val="none"/>
          <w:u w:val="single"/>
        </w:rPr>
        <w:t xml:space="preserve">   </w:t>
      </w:r>
      <w:r>
        <w:rPr>
          <w:rFonts w:hint="eastAsia"/>
          <w:color w:val="auto"/>
          <w:sz w:val="36"/>
          <w:szCs w:val="36"/>
          <w:highlight w:val="none"/>
          <w:u w:val="single"/>
          <w:lang w:val="en-US" w:eastAsia="zh-CN"/>
        </w:rPr>
        <w:t xml:space="preserve">    </w:t>
      </w:r>
      <w:r>
        <w:rPr>
          <w:rFonts w:ascii="Times New Roman" w:hAnsi="Times New Roman" w:eastAsia="宋体"/>
          <w:color w:val="auto"/>
          <w:sz w:val="36"/>
          <w:szCs w:val="36"/>
          <w:highlight w:val="none"/>
          <w:u w:val="single"/>
        </w:rPr>
        <w:t xml:space="preserve">  </w:t>
      </w:r>
      <w:r>
        <w:rPr>
          <w:rFonts w:hint="eastAsia" w:ascii="Times New Roman" w:hAnsi="Times New Roman" w:eastAsia="宋体"/>
          <w:color w:val="auto"/>
          <w:sz w:val="36"/>
          <w:szCs w:val="36"/>
          <w:highlight w:val="none"/>
          <w:u w:val="single"/>
          <w:lang w:val="en-US" w:eastAsia="zh-CN"/>
        </w:rPr>
        <w:t>202</w:t>
      </w:r>
      <w:r>
        <w:rPr>
          <w:rFonts w:hint="eastAsia"/>
          <w:color w:val="auto"/>
          <w:sz w:val="36"/>
          <w:szCs w:val="36"/>
          <w:highlight w:val="none"/>
          <w:u w:val="single"/>
          <w:lang w:val="en-US" w:eastAsia="zh-CN"/>
        </w:rPr>
        <w:t>6</w:t>
      </w:r>
      <w:r>
        <w:rPr>
          <w:rFonts w:hint="eastAsia" w:ascii="Times New Roman" w:hAnsi="Times New Roman" w:eastAsia="宋体"/>
          <w:color w:val="auto"/>
          <w:sz w:val="36"/>
          <w:szCs w:val="36"/>
          <w:highlight w:val="none"/>
          <w:u w:val="single"/>
          <w:lang w:val="en-US" w:eastAsia="zh-CN"/>
        </w:rPr>
        <w:t>年</w:t>
      </w:r>
      <w:r>
        <w:rPr>
          <w:rFonts w:hint="eastAsia"/>
          <w:color w:val="auto"/>
          <w:sz w:val="36"/>
          <w:szCs w:val="36"/>
          <w:highlight w:val="none"/>
          <w:u w:val="single"/>
          <w:lang w:val="en-US" w:eastAsia="zh-CN"/>
        </w:rPr>
        <w:t>6</w:t>
      </w:r>
      <w:r>
        <w:rPr>
          <w:rFonts w:hint="eastAsia" w:ascii="Times New Roman" w:hAnsi="Times New Roman" w:eastAsia="宋体"/>
          <w:color w:val="auto"/>
          <w:sz w:val="36"/>
          <w:szCs w:val="36"/>
          <w:highlight w:val="none"/>
          <w:u w:val="single"/>
          <w:lang w:val="en-US" w:eastAsia="zh-CN"/>
        </w:rPr>
        <w:t>月</w:t>
      </w:r>
      <w:r>
        <w:rPr>
          <w:rFonts w:ascii="Times New Roman" w:hAnsi="Times New Roman" w:eastAsia="宋体"/>
          <w:color w:val="auto"/>
          <w:sz w:val="36"/>
          <w:szCs w:val="36"/>
          <w:highlight w:val="none"/>
          <w:u w:val="single"/>
        </w:rPr>
        <w:t xml:space="preserve">         </w:t>
      </w:r>
      <w:r>
        <w:rPr>
          <w:rFonts w:hint="eastAsia"/>
          <w:color w:val="auto"/>
          <w:sz w:val="36"/>
          <w:szCs w:val="36"/>
          <w:highlight w:val="none"/>
          <w:u w:val="single"/>
          <w:lang w:val="en-US" w:eastAsia="zh-CN"/>
        </w:rPr>
        <w:t xml:space="preserve"> </w:t>
      </w:r>
      <w:r>
        <w:rPr>
          <w:rFonts w:ascii="Times New Roman" w:hAnsi="Times New Roman" w:eastAsia="宋体"/>
          <w:color w:val="auto"/>
          <w:sz w:val="36"/>
          <w:szCs w:val="36"/>
          <w:highlight w:val="none"/>
          <w:u w:val="single"/>
        </w:rPr>
        <w:t xml:space="preserve"> </w:t>
      </w:r>
    </w:p>
    <w:p w14:paraId="3E293C70">
      <w:pPr>
        <w:bidi w:val="0"/>
        <w:rPr>
          <w:rFonts w:ascii="Times New Roman" w:hAnsi="Times New Roman" w:eastAsia="宋体"/>
          <w:color w:val="auto"/>
          <w:highlight w:val="none"/>
        </w:rPr>
      </w:pPr>
      <w:bookmarkStart w:id="2" w:name="_Hlk57884087"/>
    </w:p>
    <w:p w14:paraId="6EE990FB">
      <w:pPr>
        <w:bidi w:val="0"/>
        <w:ind w:left="0" w:leftChars="0" w:firstLine="0" w:firstLineChars="0"/>
        <w:rPr>
          <w:rFonts w:ascii="Times New Roman" w:hAnsi="Times New Roman" w:eastAsia="宋体"/>
          <w:color w:val="auto"/>
          <w:highlight w:val="none"/>
        </w:rPr>
      </w:pPr>
    </w:p>
    <w:p w14:paraId="61E92600">
      <w:pPr>
        <w:bidi w:val="0"/>
        <w:rPr>
          <w:rFonts w:hint="eastAsia" w:ascii="Times New Roman" w:hAnsi="Times New Roman" w:eastAsia="宋体"/>
          <w:color w:val="auto"/>
          <w:highlight w:val="none"/>
        </w:rPr>
      </w:pPr>
    </w:p>
    <w:bookmarkEnd w:id="2"/>
    <w:p w14:paraId="7FF9723A">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eastAsia" w:ascii="Times New Roman" w:hAnsi="Times New Roman" w:eastAsia="宋体"/>
          <w:color w:val="auto"/>
          <w:sz w:val="36"/>
          <w:szCs w:val="36"/>
          <w:highlight w:val="none"/>
        </w:rPr>
      </w:pPr>
      <w:r>
        <w:rPr>
          <w:rFonts w:hint="eastAsia" w:ascii="Times New Roman" w:hAnsi="Times New Roman" w:eastAsia="宋体"/>
          <w:color w:val="auto"/>
          <w:sz w:val="36"/>
          <w:szCs w:val="36"/>
          <w:highlight w:val="none"/>
        </w:rPr>
        <w:t>中华人民共和国生态环境部制</w:t>
      </w:r>
    </w:p>
    <w:p w14:paraId="46765266">
      <w:pPr>
        <w:pStyle w:val="5"/>
        <w:bidi w:val="0"/>
        <w:rPr>
          <w:rFonts w:hint="eastAsia" w:ascii="Times New Roman" w:hAnsi="Times New Roman" w:eastAsia="宋体"/>
          <w:color w:val="auto"/>
          <w:highlight w:val="none"/>
        </w:rPr>
        <w:sectPr>
          <w:headerReference r:id="rId5" w:type="default"/>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54DAB7DB">
      <w:pPr>
        <w:pStyle w:val="5"/>
        <w:bidi w:val="0"/>
        <w:jc w:val="center"/>
        <w:rPr>
          <w:rFonts w:hint="eastAsia" w:ascii="Times New Roman" w:hAnsi="Times New Roman" w:eastAsia="宋体"/>
          <w:color w:val="auto"/>
          <w:highlight w:val="none"/>
        </w:rPr>
      </w:pPr>
      <w:r>
        <w:rPr>
          <w:rFonts w:hint="eastAsia" w:ascii="Times New Roman" w:hAnsi="Times New Roman" w:eastAsia="宋体"/>
          <w:color w:val="auto"/>
          <w:highlight w:val="none"/>
        </w:rPr>
        <w:t>一、建设项目基本情况</w:t>
      </w:r>
    </w:p>
    <w:tbl>
      <w:tblPr>
        <w:tblStyle w:val="25"/>
        <w:tblW w:w="100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751"/>
        <w:gridCol w:w="2391"/>
        <w:gridCol w:w="1883"/>
        <w:gridCol w:w="4074"/>
      </w:tblGrid>
      <w:tr w14:paraId="195BA6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51" w:type="dxa"/>
            <w:noWrap w:val="0"/>
            <w:tcMar>
              <w:top w:w="16" w:type="dxa"/>
              <w:left w:w="16" w:type="dxa"/>
              <w:right w:w="16" w:type="dxa"/>
            </w:tcMar>
            <w:vAlign w:val="center"/>
          </w:tcPr>
          <w:p w14:paraId="2FDF15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建设项目名称</w:t>
            </w:r>
          </w:p>
        </w:tc>
        <w:tc>
          <w:tcPr>
            <w:tcW w:w="8348" w:type="dxa"/>
            <w:gridSpan w:val="3"/>
            <w:noWrap w:val="0"/>
            <w:vAlign w:val="center"/>
          </w:tcPr>
          <w:p w14:paraId="47F7C0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lang w:eastAsia="zh-CN"/>
              </w:rPr>
            </w:pPr>
            <w:r>
              <w:rPr>
                <w:rFonts w:hint="eastAsia" w:cs="宋体"/>
                <w:color w:val="auto"/>
                <w:szCs w:val="21"/>
                <w:highlight w:val="none"/>
                <w:lang w:eastAsia="zh-CN"/>
              </w:rPr>
              <w:t>佛坪县山茱</w:t>
            </w:r>
            <w:bookmarkStart w:id="45" w:name="_GoBack"/>
            <w:bookmarkEnd w:id="45"/>
            <w:r>
              <w:rPr>
                <w:rFonts w:hint="eastAsia" w:cs="宋体"/>
                <w:color w:val="auto"/>
                <w:szCs w:val="21"/>
                <w:highlight w:val="none"/>
                <w:lang w:eastAsia="zh-CN"/>
              </w:rPr>
              <w:t>萸发酵(含脱醇)酒改建项目</w:t>
            </w:r>
          </w:p>
        </w:tc>
      </w:tr>
      <w:tr w14:paraId="52E5B2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51" w:type="dxa"/>
            <w:noWrap w:val="0"/>
            <w:tcMar>
              <w:top w:w="16" w:type="dxa"/>
              <w:left w:w="16" w:type="dxa"/>
              <w:right w:w="16" w:type="dxa"/>
            </w:tcMar>
            <w:vAlign w:val="center"/>
          </w:tcPr>
          <w:p w14:paraId="0C011F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Cs w:val="21"/>
                <w:highlight w:val="none"/>
                <w:lang w:val="en-US" w:eastAsia="zh-CN"/>
              </w:rPr>
            </w:pPr>
            <w:r>
              <w:rPr>
                <w:rFonts w:hint="eastAsia" w:ascii="Times New Roman" w:hAnsi="Times New Roman" w:eastAsia="宋体" w:cs="宋体"/>
                <w:color w:val="auto"/>
                <w:szCs w:val="21"/>
                <w:highlight w:val="none"/>
                <w:lang w:val="en-US" w:eastAsia="zh-CN"/>
              </w:rPr>
              <w:t>项目代码</w:t>
            </w:r>
          </w:p>
        </w:tc>
        <w:tc>
          <w:tcPr>
            <w:tcW w:w="8348" w:type="dxa"/>
            <w:gridSpan w:val="3"/>
            <w:noWrap w:val="0"/>
            <w:vAlign w:val="center"/>
          </w:tcPr>
          <w:p w14:paraId="087D90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Cs w:val="21"/>
                <w:highlight w:val="none"/>
                <w:lang w:val="en-US" w:eastAsia="zh-CN"/>
              </w:rPr>
            </w:pPr>
            <w:r>
              <w:rPr>
                <w:rFonts w:hint="eastAsia" w:cs="宋体"/>
                <w:color w:val="auto"/>
                <w:szCs w:val="21"/>
                <w:highlight w:val="none"/>
                <w:lang w:val="en-US" w:eastAsia="zh-CN"/>
              </w:rPr>
              <w:t>2602-610730-04-02-126128</w:t>
            </w:r>
          </w:p>
        </w:tc>
      </w:tr>
      <w:tr w14:paraId="4D3F6F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51" w:type="dxa"/>
            <w:noWrap w:val="0"/>
            <w:tcMar>
              <w:top w:w="16" w:type="dxa"/>
              <w:left w:w="16" w:type="dxa"/>
              <w:right w:w="16" w:type="dxa"/>
            </w:tcMar>
            <w:vAlign w:val="center"/>
          </w:tcPr>
          <w:p w14:paraId="28458D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建设单位联系人</w:t>
            </w:r>
          </w:p>
        </w:tc>
        <w:tc>
          <w:tcPr>
            <w:tcW w:w="8348" w:type="dxa"/>
            <w:gridSpan w:val="3"/>
            <w:noWrap w:val="0"/>
            <w:vAlign w:val="center"/>
          </w:tcPr>
          <w:p w14:paraId="3CCA1B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Cs w:val="21"/>
                <w:highlight w:val="none"/>
                <w:lang w:val="en-US" w:eastAsia="zh-CN"/>
              </w:rPr>
            </w:pPr>
            <w:r>
              <w:rPr>
                <w:rFonts w:hint="eastAsia" w:cs="宋体"/>
                <w:color w:val="auto"/>
                <w:szCs w:val="21"/>
                <w:highlight w:val="none"/>
                <w:lang w:val="en-US" w:eastAsia="zh-CN"/>
              </w:rPr>
              <w:t>韩文华</w:t>
            </w:r>
          </w:p>
        </w:tc>
      </w:tr>
      <w:tr w14:paraId="329D3F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51" w:type="dxa"/>
            <w:noWrap w:val="0"/>
            <w:tcMar>
              <w:top w:w="16" w:type="dxa"/>
              <w:left w:w="16" w:type="dxa"/>
              <w:right w:w="16" w:type="dxa"/>
            </w:tcMar>
            <w:vAlign w:val="center"/>
          </w:tcPr>
          <w:p w14:paraId="72EBC1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建设地点</w:t>
            </w:r>
          </w:p>
        </w:tc>
        <w:tc>
          <w:tcPr>
            <w:tcW w:w="8348" w:type="dxa"/>
            <w:gridSpan w:val="3"/>
            <w:noWrap w:val="0"/>
            <w:vAlign w:val="center"/>
          </w:tcPr>
          <w:p w14:paraId="19B09CCE">
            <w:pPr>
              <w:keepNext w:val="0"/>
              <w:keepLines w:val="0"/>
              <w:pageBreakBefore w:val="0"/>
              <w:widowControl w:val="0"/>
              <w:kinsoku/>
              <w:wordWrap/>
              <w:overflowPunct/>
              <w:topLinePunct w:val="0"/>
              <w:autoSpaceDE/>
              <w:autoSpaceDN/>
              <w:bidi w:val="0"/>
              <w:adjustRightInd w:val="0"/>
              <w:snapToGrid w:val="0"/>
              <w:spacing w:line="240" w:lineRule="auto"/>
              <w:ind w:left="120" w:leftChars="50" w:firstLine="0" w:firstLineChars="0"/>
              <w:jc w:val="center"/>
              <w:textAlignment w:val="auto"/>
              <w:rPr>
                <w:rFonts w:hint="default" w:ascii="Times New Roman" w:hAnsi="Times New Roman" w:eastAsia="宋体" w:cs="宋体"/>
                <w:color w:val="auto"/>
                <w:szCs w:val="21"/>
                <w:highlight w:val="none"/>
                <w:lang w:val="en-US" w:eastAsia="zh-CN"/>
              </w:rPr>
            </w:pPr>
            <w:r>
              <w:rPr>
                <w:rFonts w:hint="eastAsia" w:cs="宋体"/>
                <w:color w:val="auto"/>
                <w:szCs w:val="21"/>
                <w:highlight w:val="none"/>
                <w:lang w:eastAsia="zh-CN"/>
              </w:rPr>
              <w:t>陕西省汉中市佛坪县袁家庄街道办塘湾路</w:t>
            </w:r>
            <w:r>
              <w:rPr>
                <w:rFonts w:hint="eastAsia" w:cs="宋体"/>
                <w:color w:val="auto"/>
                <w:szCs w:val="21"/>
                <w:highlight w:val="none"/>
                <w:lang w:val="en-US" w:eastAsia="zh-CN"/>
              </w:rPr>
              <w:t>38</w:t>
            </w:r>
            <w:r>
              <w:rPr>
                <w:rFonts w:hint="eastAsia" w:cs="宋体"/>
                <w:color w:val="auto"/>
                <w:szCs w:val="21"/>
                <w:highlight w:val="none"/>
                <w:lang w:eastAsia="zh-CN"/>
              </w:rPr>
              <w:t>号</w:t>
            </w:r>
          </w:p>
        </w:tc>
      </w:tr>
      <w:tr w14:paraId="1D9529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51" w:type="dxa"/>
            <w:noWrap w:val="0"/>
            <w:tcMar>
              <w:top w:w="16" w:type="dxa"/>
              <w:left w:w="16" w:type="dxa"/>
              <w:right w:w="16" w:type="dxa"/>
            </w:tcMar>
            <w:vAlign w:val="center"/>
          </w:tcPr>
          <w:p w14:paraId="4EC5E6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地理坐标</w:t>
            </w:r>
          </w:p>
        </w:tc>
        <w:tc>
          <w:tcPr>
            <w:tcW w:w="8348" w:type="dxa"/>
            <w:gridSpan w:val="3"/>
            <w:noWrap w:val="0"/>
            <w:vAlign w:val="center"/>
          </w:tcPr>
          <w:p w14:paraId="15C83F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w:t>
            </w:r>
            <w:bookmarkStart w:id="3" w:name="OLE_LINK124"/>
            <w:r>
              <w:rPr>
                <w:rFonts w:hint="eastAsia" w:cs="Times New Roman"/>
                <w:color w:val="auto"/>
                <w:sz w:val="24"/>
                <w:szCs w:val="24"/>
                <w:highlight w:val="none"/>
                <w:u w:val="single"/>
                <w:lang w:val="en-US" w:eastAsia="zh-CN"/>
              </w:rPr>
              <w:t>107</w:t>
            </w:r>
            <w:r>
              <w:rPr>
                <w:rFonts w:hint="default" w:ascii="Times New Roman" w:hAnsi="Times New Roman" w:eastAsia="宋体" w:cs="Times New Roman"/>
                <w:color w:val="auto"/>
                <w:sz w:val="24"/>
                <w:szCs w:val="24"/>
                <w:highlight w:val="none"/>
              </w:rPr>
              <w:t>度</w:t>
            </w:r>
            <w:r>
              <w:rPr>
                <w:rFonts w:hint="eastAsia" w:cs="Times New Roman"/>
                <w:color w:val="auto"/>
                <w:sz w:val="24"/>
                <w:szCs w:val="24"/>
                <w:highlight w:val="none"/>
                <w:u w:val="single"/>
                <w:lang w:val="en-US" w:eastAsia="zh-CN"/>
              </w:rPr>
              <w:t>59</w:t>
            </w:r>
            <w:r>
              <w:rPr>
                <w:rFonts w:hint="default" w:ascii="Times New Roman" w:hAnsi="Times New Roman" w:eastAsia="宋体" w:cs="Times New Roman"/>
                <w:color w:val="auto"/>
                <w:sz w:val="24"/>
                <w:szCs w:val="24"/>
                <w:highlight w:val="none"/>
              </w:rPr>
              <w:t>分</w:t>
            </w:r>
            <w:r>
              <w:rPr>
                <w:rFonts w:hint="eastAsia" w:cs="Times New Roman"/>
                <w:color w:val="auto"/>
                <w:sz w:val="24"/>
                <w:szCs w:val="24"/>
                <w:highlight w:val="none"/>
                <w:u w:val="single"/>
                <w:lang w:val="en-US" w:eastAsia="zh-CN"/>
              </w:rPr>
              <w:t>21.026</w:t>
            </w:r>
            <w:r>
              <w:rPr>
                <w:rFonts w:hint="default" w:ascii="Times New Roman" w:hAnsi="Times New Roman" w:eastAsia="宋体" w:cs="Times New Roman"/>
                <w:color w:val="auto"/>
                <w:sz w:val="24"/>
                <w:szCs w:val="24"/>
                <w:highlight w:val="none"/>
              </w:rPr>
              <w:t>秒，</w:t>
            </w:r>
            <w:r>
              <w:rPr>
                <w:rFonts w:hint="eastAsia" w:ascii="Times New Roman" w:hAnsi="Times New Roman" w:eastAsia="宋体" w:cs="Times New Roman"/>
                <w:color w:val="auto"/>
                <w:sz w:val="24"/>
                <w:szCs w:val="24"/>
                <w:highlight w:val="none"/>
                <w:u w:val="single"/>
                <w:lang w:val="en-US" w:eastAsia="zh-CN"/>
              </w:rPr>
              <w:t>3</w:t>
            </w:r>
            <w:r>
              <w:rPr>
                <w:rFonts w:hint="eastAsia" w:cs="Times New Roman"/>
                <w:color w:val="auto"/>
                <w:sz w:val="24"/>
                <w:szCs w:val="24"/>
                <w:highlight w:val="none"/>
                <w:u w:val="single"/>
                <w:lang w:val="en-US" w:eastAsia="zh-CN"/>
              </w:rPr>
              <w:t>3</w:t>
            </w:r>
            <w:r>
              <w:rPr>
                <w:rFonts w:hint="default" w:ascii="Times New Roman" w:hAnsi="Times New Roman" w:eastAsia="宋体" w:cs="Times New Roman"/>
                <w:color w:val="auto"/>
                <w:sz w:val="24"/>
                <w:szCs w:val="24"/>
                <w:highlight w:val="none"/>
              </w:rPr>
              <w:t>度</w:t>
            </w:r>
            <w:r>
              <w:rPr>
                <w:rFonts w:hint="eastAsia" w:ascii="Times New Roman" w:hAnsi="Times New Roman" w:eastAsia="宋体" w:cs="Times New Roman"/>
                <w:color w:val="auto"/>
                <w:sz w:val="24"/>
                <w:szCs w:val="24"/>
                <w:highlight w:val="none"/>
                <w:u w:val="single"/>
                <w:lang w:val="en-US" w:eastAsia="zh-CN"/>
              </w:rPr>
              <w:t>3</w:t>
            </w:r>
            <w:r>
              <w:rPr>
                <w:rFonts w:hint="eastAsia" w:cs="Times New Roman"/>
                <w:color w:val="auto"/>
                <w:sz w:val="24"/>
                <w:szCs w:val="24"/>
                <w:highlight w:val="none"/>
                <w:u w:val="single"/>
                <w:lang w:val="en-US" w:eastAsia="zh-CN"/>
              </w:rPr>
              <w:t>1</w:t>
            </w:r>
            <w:r>
              <w:rPr>
                <w:rFonts w:hint="default" w:ascii="Times New Roman" w:hAnsi="Times New Roman" w:eastAsia="宋体" w:cs="Times New Roman"/>
                <w:color w:val="auto"/>
                <w:sz w:val="24"/>
                <w:szCs w:val="24"/>
                <w:highlight w:val="none"/>
              </w:rPr>
              <w:t>分</w:t>
            </w:r>
            <w:r>
              <w:rPr>
                <w:rFonts w:hint="eastAsia" w:cs="Times New Roman"/>
                <w:color w:val="auto"/>
                <w:sz w:val="24"/>
                <w:szCs w:val="24"/>
                <w:highlight w:val="none"/>
                <w:u w:val="single"/>
                <w:lang w:val="en-US" w:eastAsia="zh-CN"/>
              </w:rPr>
              <w:t>58.094</w:t>
            </w:r>
            <w:r>
              <w:rPr>
                <w:rFonts w:hint="default" w:ascii="Times New Roman" w:hAnsi="Times New Roman" w:eastAsia="宋体" w:cs="Times New Roman"/>
                <w:color w:val="auto"/>
                <w:sz w:val="24"/>
                <w:szCs w:val="24"/>
                <w:highlight w:val="none"/>
              </w:rPr>
              <w:t>秒</w:t>
            </w:r>
            <w:bookmarkEnd w:id="3"/>
            <w:r>
              <w:rPr>
                <w:rFonts w:hint="eastAsia" w:ascii="Times New Roman" w:hAnsi="Times New Roman" w:eastAsia="宋体" w:cs="宋体"/>
                <w:color w:val="auto"/>
                <w:szCs w:val="21"/>
                <w:highlight w:val="none"/>
              </w:rPr>
              <w:t>）</w:t>
            </w:r>
          </w:p>
        </w:tc>
      </w:tr>
      <w:tr w14:paraId="717069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751" w:type="dxa"/>
            <w:noWrap w:val="0"/>
            <w:tcMar>
              <w:top w:w="16" w:type="dxa"/>
              <w:left w:w="16" w:type="dxa"/>
              <w:right w:w="16" w:type="dxa"/>
            </w:tcMar>
            <w:vAlign w:val="center"/>
          </w:tcPr>
          <w:p w14:paraId="4AE04E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国民经济</w:t>
            </w:r>
          </w:p>
          <w:p w14:paraId="47A0AA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行业类别</w:t>
            </w:r>
          </w:p>
        </w:tc>
        <w:tc>
          <w:tcPr>
            <w:tcW w:w="2391" w:type="dxa"/>
            <w:noWrap w:val="0"/>
            <w:vAlign w:val="center"/>
          </w:tcPr>
          <w:p w14:paraId="212D21A5">
            <w:pPr>
              <w:keepNext w:val="0"/>
              <w:keepLines w:val="0"/>
              <w:pageBreakBefore w:val="0"/>
              <w:widowControl w:val="0"/>
              <w:kinsoku/>
              <w:wordWrap/>
              <w:overflowPunct/>
              <w:topLinePunct w:val="0"/>
              <w:autoSpaceDE/>
              <w:autoSpaceDN/>
              <w:bidi w:val="0"/>
              <w:adjustRightInd w:val="0"/>
              <w:snapToGrid w:val="0"/>
              <w:spacing w:line="240" w:lineRule="auto"/>
              <w:ind w:left="120" w:leftChars="50" w:firstLine="0" w:firstLineChars="0"/>
              <w:jc w:val="left"/>
              <w:textAlignment w:val="auto"/>
              <w:rPr>
                <w:rFonts w:hint="default" w:ascii="Times New Roman" w:hAnsi="Times New Roman" w:eastAsia="宋体" w:cs="宋体"/>
                <w:color w:val="auto"/>
                <w:szCs w:val="21"/>
                <w:highlight w:val="none"/>
                <w:lang w:val="en-US" w:eastAsia="zh-CN"/>
              </w:rPr>
            </w:pPr>
            <w:r>
              <w:rPr>
                <w:rFonts w:hint="default" w:ascii="Times New Roman" w:hAnsi="Times New Roman" w:eastAsia="宋体" w:cs="宋体"/>
                <w:color w:val="auto"/>
                <w:szCs w:val="21"/>
                <w:highlight w:val="none"/>
                <w:lang w:val="en-US" w:eastAsia="zh-CN"/>
              </w:rPr>
              <w:t>C</w:t>
            </w:r>
            <w:r>
              <w:rPr>
                <w:rFonts w:hint="eastAsia" w:cs="宋体"/>
                <w:color w:val="auto"/>
                <w:szCs w:val="21"/>
                <w:highlight w:val="none"/>
                <w:lang w:val="en-US" w:eastAsia="zh-CN"/>
              </w:rPr>
              <w:t>1519其他酒制造</w:t>
            </w:r>
          </w:p>
        </w:tc>
        <w:tc>
          <w:tcPr>
            <w:tcW w:w="1883" w:type="dxa"/>
            <w:noWrap w:val="0"/>
            <w:vAlign w:val="center"/>
          </w:tcPr>
          <w:p w14:paraId="22F966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建设项目</w:t>
            </w:r>
          </w:p>
          <w:p w14:paraId="2BD7AD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行业类别</w:t>
            </w:r>
          </w:p>
        </w:tc>
        <w:tc>
          <w:tcPr>
            <w:tcW w:w="4074" w:type="dxa"/>
            <w:noWrap w:val="0"/>
            <w:vAlign w:val="center"/>
          </w:tcPr>
          <w:p w14:paraId="133A0723">
            <w:pPr>
              <w:keepNext w:val="0"/>
              <w:keepLines w:val="0"/>
              <w:pageBreakBefore w:val="0"/>
              <w:widowControl w:val="0"/>
              <w:kinsoku/>
              <w:wordWrap/>
              <w:overflowPunct/>
              <w:topLinePunct w:val="0"/>
              <w:autoSpaceDE/>
              <w:autoSpaceDN/>
              <w:bidi w:val="0"/>
              <w:adjustRightInd w:val="0"/>
              <w:snapToGrid w:val="0"/>
              <w:spacing w:line="240" w:lineRule="auto"/>
              <w:ind w:left="120" w:leftChars="50" w:firstLine="0" w:firstLineChars="0"/>
              <w:jc w:val="left"/>
              <w:textAlignment w:val="auto"/>
              <w:rPr>
                <w:rFonts w:hint="default" w:ascii="Times New Roman" w:hAnsi="Times New Roman" w:eastAsia="宋体" w:cs="宋体"/>
                <w:color w:val="auto"/>
                <w:szCs w:val="21"/>
                <w:highlight w:val="none"/>
                <w:lang w:val="en-US" w:eastAsia="zh-CN"/>
              </w:rPr>
            </w:pPr>
            <w:r>
              <w:rPr>
                <w:rFonts w:hint="eastAsia" w:cs="宋体"/>
                <w:color w:val="auto"/>
                <w:szCs w:val="21"/>
                <w:highlight w:val="none"/>
                <w:lang w:val="en-US" w:eastAsia="zh-CN"/>
              </w:rPr>
              <w:t>十二、酒、饮料制造业15—25酒的制造 151*、其他(单纯勾兑的除外)</w:t>
            </w:r>
          </w:p>
        </w:tc>
      </w:tr>
      <w:tr w14:paraId="5AEEA5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01" w:hRule="atLeast"/>
          <w:jc w:val="center"/>
        </w:trPr>
        <w:tc>
          <w:tcPr>
            <w:tcW w:w="1751" w:type="dxa"/>
            <w:noWrap w:val="0"/>
            <w:tcMar>
              <w:top w:w="16" w:type="dxa"/>
              <w:left w:w="16" w:type="dxa"/>
              <w:right w:w="16" w:type="dxa"/>
            </w:tcMar>
            <w:vAlign w:val="center"/>
          </w:tcPr>
          <w:p w14:paraId="25CE14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建设性质</w:t>
            </w:r>
          </w:p>
        </w:tc>
        <w:tc>
          <w:tcPr>
            <w:tcW w:w="2391" w:type="dxa"/>
            <w:noWrap w:val="0"/>
            <w:vAlign w:val="center"/>
          </w:tcPr>
          <w:p w14:paraId="7CBF4DD1">
            <w:pPr>
              <w:keepNext w:val="0"/>
              <w:keepLines w:val="0"/>
              <w:pageBreakBefore w:val="0"/>
              <w:widowControl w:val="0"/>
              <w:kinsoku/>
              <w:wordWrap/>
              <w:overflowPunct/>
              <w:topLinePunct w:val="0"/>
              <w:autoSpaceDE/>
              <w:autoSpaceDN/>
              <w:bidi w:val="0"/>
              <w:adjustRightInd w:val="0"/>
              <w:snapToGrid w:val="0"/>
              <w:spacing w:line="240" w:lineRule="auto"/>
              <w:ind w:left="120" w:leftChars="50" w:firstLine="0" w:firstLineChars="0"/>
              <w:jc w:val="left"/>
              <w:textAlignment w:val="auto"/>
              <w:rPr>
                <w:rFonts w:ascii="Times New Roman" w:hAnsi="Times New Roman" w:eastAsia="宋体" w:cs="宋体"/>
                <w:color w:val="FF0000"/>
                <w:szCs w:val="21"/>
                <w:highlight w:val="none"/>
              </w:rPr>
            </w:pPr>
            <w:r>
              <w:rPr>
                <w:rFonts w:hint="eastAsia" w:cs="宋体"/>
                <w:color w:val="FF0000"/>
                <w:szCs w:val="21"/>
                <w:highlight w:val="none"/>
                <w:lang w:eastAsia="zh-CN"/>
              </w:rPr>
              <w:t>☑</w:t>
            </w:r>
            <w:r>
              <w:rPr>
                <w:rFonts w:hint="eastAsia" w:ascii="Times New Roman" w:hAnsi="Times New Roman" w:eastAsia="宋体" w:cs="宋体"/>
                <w:color w:val="FF0000"/>
                <w:szCs w:val="21"/>
                <w:highlight w:val="none"/>
              </w:rPr>
              <w:t>新建（迁建）</w:t>
            </w:r>
          </w:p>
          <w:p w14:paraId="5E4C08BD">
            <w:pPr>
              <w:keepNext w:val="0"/>
              <w:keepLines w:val="0"/>
              <w:pageBreakBefore w:val="0"/>
              <w:widowControl w:val="0"/>
              <w:kinsoku/>
              <w:wordWrap/>
              <w:overflowPunct/>
              <w:topLinePunct w:val="0"/>
              <w:autoSpaceDE/>
              <w:autoSpaceDN/>
              <w:bidi w:val="0"/>
              <w:adjustRightInd w:val="0"/>
              <w:snapToGrid w:val="0"/>
              <w:spacing w:line="240" w:lineRule="auto"/>
              <w:ind w:left="120" w:leftChars="50" w:firstLine="0" w:firstLineChars="0"/>
              <w:jc w:val="left"/>
              <w:textAlignment w:val="auto"/>
              <w:rPr>
                <w:rFonts w:hint="eastAsia" w:ascii="Times New Roman" w:hAnsi="Times New Roman" w:eastAsia="宋体" w:cs="宋体"/>
                <w:color w:val="auto"/>
                <w:szCs w:val="21"/>
                <w:highlight w:val="none"/>
              </w:rPr>
            </w:pPr>
            <w:r>
              <w:rPr>
                <w:rFonts w:hint="eastAsia" w:cs="宋体"/>
                <w:color w:val="auto"/>
                <w:szCs w:val="21"/>
                <w:highlight w:val="none"/>
                <w:lang w:eastAsia="zh-CN"/>
              </w:rPr>
              <w:t>□</w:t>
            </w:r>
            <w:r>
              <w:rPr>
                <w:rFonts w:hint="eastAsia" w:ascii="Times New Roman" w:hAnsi="Times New Roman" w:eastAsia="宋体" w:cs="宋体"/>
                <w:color w:val="auto"/>
                <w:szCs w:val="21"/>
                <w:highlight w:val="none"/>
              </w:rPr>
              <w:t>改建</w:t>
            </w:r>
          </w:p>
          <w:p w14:paraId="2125EC5E">
            <w:pPr>
              <w:keepNext w:val="0"/>
              <w:keepLines w:val="0"/>
              <w:pageBreakBefore w:val="0"/>
              <w:widowControl w:val="0"/>
              <w:kinsoku/>
              <w:wordWrap/>
              <w:overflowPunct/>
              <w:topLinePunct w:val="0"/>
              <w:autoSpaceDE/>
              <w:autoSpaceDN/>
              <w:bidi w:val="0"/>
              <w:adjustRightInd w:val="0"/>
              <w:snapToGrid w:val="0"/>
              <w:spacing w:line="240" w:lineRule="auto"/>
              <w:ind w:left="120" w:leftChars="50" w:firstLine="0" w:firstLineChars="0"/>
              <w:jc w:val="left"/>
              <w:textAlignment w:val="auto"/>
              <w:rPr>
                <w:rFonts w:hint="eastAsia" w:ascii="Times New Roman" w:hAnsi="Times New Roman" w:eastAsia="宋体" w:cs="宋体"/>
                <w:color w:val="auto"/>
                <w:szCs w:val="21"/>
                <w:highlight w:val="none"/>
              </w:rPr>
            </w:pPr>
            <w:r>
              <w:rPr>
                <w:rFonts w:hint="eastAsia" w:cs="宋体"/>
                <w:color w:val="auto"/>
                <w:szCs w:val="21"/>
                <w:highlight w:val="none"/>
                <w:lang w:eastAsia="zh-CN"/>
              </w:rPr>
              <w:t>□</w:t>
            </w:r>
            <w:r>
              <w:rPr>
                <w:rFonts w:hint="eastAsia" w:ascii="Times New Roman" w:hAnsi="Times New Roman" w:eastAsia="宋体" w:cs="宋体"/>
                <w:color w:val="auto"/>
                <w:szCs w:val="21"/>
                <w:highlight w:val="none"/>
              </w:rPr>
              <w:t>扩建</w:t>
            </w:r>
          </w:p>
          <w:p w14:paraId="2BDA93F2">
            <w:pPr>
              <w:keepNext w:val="0"/>
              <w:keepLines w:val="0"/>
              <w:pageBreakBefore w:val="0"/>
              <w:widowControl w:val="0"/>
              <w:kinsoku/>
              <w:wordWrap/>
              <w:overflowPunct/>
              <w:topLinePunct w:val="0"/>
              <w:autoSpaceDE/>
              <w:autoSpaceDN/>
              <w:bidi w:val="0"/>
              <w:adjustRightInd w:val="0"/>
              <w:snapToGrid w:val="0"/>
              <w:spacing w:line="240" w:lineRule="auto"/>
              <w:ind w:left="120" w:leftChars="50" w:firstLine="0" w:firstLineChars="0"/>
              <w:jc w:val="left"/>
              <w:textAlignment w:val="auto"/>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lang w:eastAsia="zh-CN"/>
              </w:rPr>
              <w:t>□</w:t>
            </w:r>
            <w:r>
              <w:rPr>
                <w:rFonts w:hint="eastAsia" w:ascii="Times New Roman" w:hAnsi="Times New Roman" w:eastAsia="宋体" w:cs="宋体"/>
                <w:color w:val="auto"/>
                <w:szCs w:val="21"/>
                <w:highlight w:val="none"/>
              </w:rPr>
              <w:t>技术改造</w:t>
            </w:r>
          </w:p>
        </w:tc>
        <w:tc>
          <w:tcPr>
            <w:tcW w:w="1883" w:type="dxa"/>
            <w:noWrap w:val="0"/>
            <w:vAlign w:val="center"/>
          </w:tcPr>
          <w:p w14:paraId="49C33C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建设项目</w:t>
            </w:r>
          </w:p>
          <w:p w14:paraId="6BC748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申报情形</w:t>
            </w:r>
          </w:p>
        </w:tc>
        <w:tc>
          <w:tcPr>
            <w:tcW w:w="4074" w:type="dxa"/>
            <w:noWrap w:val="0"/>
            <w:vAlign w:val="center"/>
          </w:tcPr>
          <w:p w14:paraId="42614DD2">
            <w:pPr>
              <w:keepNext w:val="0"/>
              <w:keepLines w:val="0"/>
              <w:pageBreakBefore w:val="0"/>
              <w:widowControl w:val="0"/>
              <w:kinsoku/>
              <w:wordWrap/>
              <w:overflowPunct/>
              <w:topLinePunct w:val="0"/>
              <w:autoSpaceDE/>
              <w:autoSpaceDN/>
              <w:bidi w:val="0"/>
              <w:adjustRightInd w:val="0"/>
              <w:snapToGrid w:val="0"/>
              <w:spacing w:line="240" w:lineRule="auto"/>
              <w:ind w:left="120" w:leftChars="50" w:firstLine="0" w:firstLineChars="0"/>
              <w:jc w:val="left"/>
              <w:textAlignment w:val="auto"/>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lang w:eastAsia="zh-CN"/>
              </w:rPr>
              <w:t>☑</w:t>
            </w:r>
            <w:r>
              <w:rPr>
                <w:rFonts w:hint="eastAsia" w:ascii="Times New Roman" w:hAnsi="Times New Roman" w:eastAsia="宋体" w:cs="宋体"/>
                <w:color w:val="auto"/>
                <w:szCs w:val="21"/>
                <w:highlight w:val="none"/>
              </w:rPr>
              <w:t>首次申报项目</w:t>
            </w:r>
          </w:p>
          <w:p w14:paraId="66973FFE">
            <w:pPr>
              <w:keepNext w:val="0"/>
              <w:keepLines w:val="0"/>
              <w:pageBreakBefore w:val="0"/>
              <w:widowControl w:val="0"/>
              <w:kinsoku/>
              <w:wordWrap/>
              <w:overflowPunct/>
              <w:topLinePunct w:val="0"/>
              <w:autoSpaceDE/>
              <w:autoSpaceDN/>
              <w:bidi w:val="0"/>
              <w:adjustRightInd w:val="0"/>
              <w:snapToGrid w:val="0"/>
              <w:spacing w:line="240" w:lineRule="auto"/>
              <w:ind w:left="120" w:leftChars="50" w:firstLine="0" w:firstLineChars="0"/>
              <w:jc w:val="left"/>
              <w:textAlignment w:val="auto"/>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□不予批准后再次申报项目</w:t>
            </w:r>
          </w:p>
          <w:p w14:paraId="600D658A">
            <w:pPr>
              <w:keepNext w:val="0"/>
              <w:keepLines w:val="0"/>
              <w:pageBreakBefore w:val="0"/>
              <w:widowControl w:val="0"/>
              <w:kinsoku/>
              <w:wordWrap/>
              <w:overflowPunct/>
              <w:topLinePunct w:val="0"/>
              <w:autoSpaceDE/>
              <w:autoSpaceDN/>
              <w:bidi w:val="0"/>
              <w:adjustRightInd w:val="0"/>
              <w:snapToGrid w:val="0"/>
              <w:spacing w:line="240" w:lineRule="auto"/>
              <w:ind w:left="120" w:leftChars="50" w:firstLine="0" w:firstLineChars="0"/>
              <w:jc w:val="left"/>
              <w:textAlignment w:val="auto"/>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□超五年重新审核项目</w:t>
            </w:r>
          </w:p>
          <w:p w14:paraId="5ABC66B3">
            <w:pPr>
              <w:keepNext w:val="0"/>
              <w:keepLines w:val="0"/>
              <w:pageBreakBefore w:val="0"/>
              <w:widowControl w:val="0"/>
              <w:kinsoku/>
              <w:wordWrap/>
              <w:overflowPunct/>
              <w:topLinePunct w:val="0"/>
              <w:autoSpaceDE/>
              <w:autoSpaceDN/>
              <w:bidi w:val="0"/>
              <w:adjustRightInd w:val="0"/>
              <w:snapToGrid w:val="0"/>
              <w:spacing w:line="240" w:lineRule="auto"/>
              <w:ind w:left="120" w:leftChars="50" w:firstLine="0" w:firstLineChars="0"/>
              <w:jc w:val="left"/>
              <w:textAlignment w:val="auto"/>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□重大变动重新报批项目</w:t>
            </w:r>
          </w:p>
        </w:tc>
      </w:tr>
      <w:tr w14:paraId="18220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751" w:type="dxa"/>
            <w:noWrap w:val="0"/>
            <w:tcMar>
              <w:top w:w="16" w:type="dxa"/>
              <w:left w:w="16" w:type="dxa"/>
              <w:right w:w="16" w:type="dxa"/>
            </w:tcMar>
            <w:vAlign w:val="center"/>
          </w:tcPr>
          <w:p w14:paraId="44C036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项目审批（核准/备案）部门</w:t>
            </w:r>
          </w:p>
        </w:tc>
        <w:tc>
          <w:tcPr>
            <w:tcW w:w="2391" w:type="dxa"/>
            <w:noWrap w:val="0"/>
            <w:vAlign w:val="center"/>
          </w:tcPr>
          <w:p w14:paraId="7F51E8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lang w:val="en-US" w:eastAsia="zh-CN"/>
              </w:rPr>
            </w:pPr>
            <w:r>
              <w:rPr>
                <w:rFonts w:hint="eastAsia" w:cs="宋体"/>
                <w:color w:val="auto"/>
                <w:szCs w:val="21"/>
                <w:highlight w:val="none"/>
                <w:lang w:val="en-US" w:eastAsia="zh-CN"/>
              </w:rPr>
              <w:t>佛坪县发展和改革</w:t>
            </w:r>
            <w:r>
              <w:rPr>
                <w:rFonts w:hint="eastAsia" w:ascii="Times New Roman" w:hAnsi="Times New Roman" w:eastAsia="宋体" w:cs="宋体"/>
                <w:color w:val="auto"/>
                <w:szCs w:val="21"/>
                <w:highlight w:val="none"/>
                <w:lang w:val="en-US" w:eastAsia="zh-CN"/>
              </w:rPr>
              <w:t>局</w:t>
            </w:r>
          </w:p>
        </w:tc>
        <w:tc>
          <w:tcPr>
            <w:tcW w:w="1883" w:type="dxa"/>
            <w:noWrap w:val="0"/>
            <w:vAlign w:val="center"/>
          </w:tcPr>
          <w:p w14:paraId="417947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项目审批（核准/备案）文号</w:t>
            </w:r>
          </w:p>
        </w:tc>
        <w:tc>
          <w:tcPr>
            <w:tcW w:w="4074" w:type="dxa"/>
            <w:noWrap w:val="0"/>
            <w:vAlign w:val="center"/>
          </w:tcPr>
          <w:p w14:paraId="258BED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Cs w:val="21"/>
                <w:highlight w:val="none"/>
                <w:lang w:val="en-US" w:eastAsia="zh-CN"/>
              </w:rPr>
            </w:pPr>
            <w:r>
              <w:rPr>
                <w:rFonts w:hint="eastAsia" w:cs="宋体"/>
                <w:color w:val="auto"/>
                <w:szCs w:val="21"/>
                <w:highlight w:val="none"/>
                <w:lang w:val="en-US" w:eastAsia="zh-CN"/>
              </w:rPr>
              <w:t>/</w:t>
            </w:r>
          </w:p>
        </w:tc>
      </w:tr>
      <w:tr w14:paraId="292BB7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51" w:type="dxa"/>
            <w:noWrap w:val="0"/>
            <w:tcMar>
              <w:top w:w="16" w:type="dxa"/>
              <w:left w:w="16" w:type="dxa"/>
              <w:right w:w="16" w:type="dxa"/>
            </w:tcMar>
            <w:vAlign w:val="center"/>
          </w:tcPr>
          <w:p w14:paraId="6DF5EA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总投资（万元）</w:t>
            </w:r>
          </w:p>
        </w:tc>
        <w:tc>
          <w:tcPr>
            <w:tcW w:w="2391" w:type="dxa"/>
            <w:noWrap w:val="0"/>
            <w:vAlign w:val="center"/>
          </w:tcPr>
          <w:p w14:paraId="689957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Cs w:val="21"/>
                <w:highlight w:val="none"/>
                <w:lang w:val="en-US" w:eastAsia="zh-CN"/>
              </w:rPr>
            </w:pPr>
            <w:r>
              <w:rPr>
                <w:rFonts w:hint="eastAsia" w:cs="宋体"/>
                <w:color w:val="auto"/>
                <w:szCs w:val="21"/>
                <w:highlight w:val="none"/>
                <w:lang w:val="en-US" w:eastAsia="zh-CN"/>
              </w:rPr>
              <w:t>980</w:t>
            </w:r>
          </w:p>
        </w:tc>
        <w:tc>
          <w:tcPr>
            <w:tcW w:w="1883" w:type="dxa"/>
            <w:noWrap w:val="0"/>
            <w:tcMar>
              <w:top w:w="16" w:type="dxa"/>
              <w:left w:w="16" w:type="dxa"/>
              <w:right w:w="16" w:type="dxa"/>
            </w:tcMar>
            <w:vAlign w:val="center"/>
          </w:tcPr>
          <w:p w14:paraId="3A05BE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环保投资</w:t>
            </w:r>
          </w:p>
          <w:p w14:paraId="3F6455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（万元）</w:t>
            </w:r>
          </w:p>
        </w:tc>
        <w:tc>
          <w:tcPr>
            <w:tcW w:w="4074" w:type="dxa"/>
            <w:noWrap w:val="0"/>
            <w:vAlign w:val="center"/>
          </w:tcPr>
          <w:p w14:paraId="77CA65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Cs w:val="21"/>
                <w:highlight w:val="none"/>
                <w:lang w:val="en-US" w:eastAsia="zh-CN"/>
              </w:rPr>
            </w:pPr>
            <w:r>
              <w:rPr>
                <w:rFonts w:hint="eastAsia" w:cs="宋体"/>
                <w:color w:val="auto"/>
                <w:szCs w:val="21"/>
                <w:highlight w:val="none"/>
                <w:lang w:val="en-US" w:eastAsia="zh-CN"/>
              </w:rPr>
              <w:t>50</w:t>
            </w:r>
          </w:p>
        </w:tc>
      </w:tr>
      <w:tr w14:paraId="0345C9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751" w:type="dxa"/>
            <w:noWrap w:val="0"/>
            <w:tcMar>
              <w:top w:w="16" w:type="dxa"/>
              <w:left w:w="16" w:type="dxa"/>
              <w:right w:w="16" w:type="dxa"/>
            </w:tcMar>
            <w:vAlign w:val="center"/>
          </w:tcPr>
          <w:p w14:paraId="151FFA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环保投资占比</w:t>
            </w:r>
          </w:p>
        </w:tc>
        <w:tc>
          <w:tcPr>
            <w:tcW w:w="2391" w:type="dxa"/>
            <w:noWrap w:val="0"/>
            <w:vAlign w:val="center"/>
          </w:tcPr>
          <w:p w14:paraId="3B8DCE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Cs w:val="21"/>
                <w:highlight w:val="none"/>
                <w:lang w:val="en-US" w:eastAsia="zh-CN"/>
              </w:rPr>
            </w:pPr>
            <w:r>
              <w:rPr>
                <w:rFonts w:hint="eastAsia" w:cs="宋体"/>
                <w:color w:val="auto"/>
                <w:szCs w:val="21"/>
                <w:highlight w:val="none"/>
                <w:lang w:val="en-US" w:eastAsia="zh-CN"/>
              </w:rPr>
              <w:t>5.10%</w:t>
            </w:r>
          </w:p>
        </w:tc>
        <w:tc>
          <w:tcPr>
            <w:tcW w:w="1883" w:type="dxa"/>
            <w:noWrap w:val="0"/>
            <w:tcMar>
              <w:top w:w="16" w:type="dxa"/>
              <w:left w:w="16" w:type="dxa"/>
              <w:right w:w="16" w:type="dxa"/>
            </w:tcMar>
            <w:vAlign w:val="center"/>
          </w:tcPr>
          <w:p w14:paraId="3B0F27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施工工期</w:t>
            </w:r>
          </w:p>
        </w:tc>
        <w:tc>
          <w:tcPr>
            <w:tcW w:w="4074" w:type="dxa"/>
            <w:noWrap w:val="0"/>
            <w:vAlign w:val="center"/>
          </w:tcPr>
          <w:p w14:paraId="6BA8A2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Cs w:val="21"/>
                <w:highlight w:val="none"/>
                <w:lang w:val="en-US" w:eastAsia="zh-CN"/>
              </w:rPr>
            </w:pPr>
            <w:r>
              <w:rPr>
                <w:rFonts w:hint="eastAsia" w:cs="宋体"/>
                <w:color w:val="auto"/>
                <w:szCs w:val="21"/>
                <w:highlight w:val="none"/>
                <w:lang w:val="en-US" w:eastAsia="zh-CN"/>
              </w:rPr>
              <w:t>/</w:t>
            </w:r>
          </w:p>
        </w:tc>
      </w:tr>
      <w:tr w14:paraId="69F335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751" w:type="dxa"/>
            <w:noWrap w:val="0"/>
            <w:tcMar>
              <w:top w:w="16" w:type="dxa"/>
              <w:left w:w="16" w:type="dxa"/>
              <w:right w:w="16" w:type="dxa"/>
            </w:tcMar>
            <w:vAlign w:val="center"/>
          </w:tcPr>
          <w:p w14:paraId="588E8D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是否开工建设</w:t>
            </w:r>
          </w:p>
        </w:tc>
        <w:tc>
          <w:tcPr>
            <w:tcW w:w="2391" w:type="dxa"/>
            <w:noWrap w:val="0"/>
            <w:vAlign w:val="center"/>
          </w:tcPr>
          <w:p w14:paraId="6D2E4A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ascii="Times New Roman" w:hAnsi="Times New Roman" w:eastAsia="宋体" w:cs="宋体"/>
                <w:color w:val="auto"/>
                <w:sz w:val="24"/>
                <w:szCs w:val="24"/>
                <w:highlight w:val="none"/>
              </w:rPr>
            </w:pPr>
            <w:r>
              <w:rPr>
                <w:rFonts w:hint="eastAsia" w:cs="宋体"/>
                <w:color w:val="auto"/>
                <w:sz w:val="24"/>
                <w:szCs w:val="24"/>
                <w:highlight w:val="none"/>
                <w:lang w:eastAsia="zh-CN"/>
              </w:rPr>
              <w:t>□</w:t>
            </w:r>
            <w:r>
              <w:rPr>
                <w:rFonts w:hint="eastAsia" w:ascii="Times New Roman" w:hAnsi="Times New Roman" w:eastAsia="宋体" w:cs="宋体"/>
                <w:color w:val="auto"/>
                <w:sz w:val="24"/>
                <w:szCs w:val="24"/>
                <w:highlight w:val="none"/>
              </w:rPr>
              <w:t>否</w:t>
            </w:r>
          </w:p>
          <w:p w14:paraId="580884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宋体"/>
                <w:color w:val="auto"/>
                <w:szCs w:val="21"/>
                <w:highlight w:val="none"/>
                <w:lang w:val="en-US" w:eastAsia="zh-CN"/>
              </w:rPr>
            </w:pPr>
            <w:r>
              <w:rPr>
                <w:rFonts w:hint="eastAsia" w:cs="宋体"/>
                <w:color w:val="auto"/>
                <w:sz w:val="24"/>
                <w:szCs w:val="24"/>
                <w:highlight w:val="none"/>
                <w:lang w:eastAsia="zh-CN"/>
              </w:rPr>
              <w:t>☑</w:t>
            </w:r>
            <w:r>
              <w:rPr>
                <w:rFonts w:hint="eastAsia" w:ascii="Times New Roman" w:hAnsi="Times New Roman" w:eastAsia="宋体" w:cs="宋体"/>
                <w:color w:val="auto"/>
                <w:sz w:val="24"/>
                <w:szCs w:val="24"/>
                <w:highlight w:val="none"/>
              </w:rPr>
              <w:t>是</w:t>
            </w:r>
            <w:r>
              <w:rPr>
                <w:rFonts w:hint="eastAsia" w:cs="宋体"/>
                <w:color w:val="auto"/>
                <w:sz w:val="24"/>
                <w:szCs w:val="24"/>
                <w:highlight w:val="none"/>
                <w:u w:val="single"/>
                <w:lang w:val="en-US" w:eastAsia="zh-CN"/>
              </w:rPr>
              <w:t>2022年9月开工建设，</w:t>
            </w:r>
            <w:r>
              <w:rPr>
                <w:color w:val="auto"/>
                <w:spacing w:val="-1"/>
                <w:u w:val="single"/>
              </w:rPr>
              <w:t>2024</w:t>
            </w:r>
            <w:r>
              <w:rPr>
                <w:color w:val="auto"/>
                <w:spacing w:val="-46"/>
                <w:u w:val="single"/>
              </w:rPr>
              <w:t xml:space="preserve"> </w:t>
            </w:r>
            <w:r>
              <w:rPr>
                <w:color w:val="auto"/>
                <w:spacing w:val="-1"/>
                <w:u w:val="single"/>
              </w:rPr>
              <w:t>年</w:t>
            </w:r>
            <w:r>
              <w:rPr>
                <w:color w:val="auto"/>
                <w:spacing w:val="-61"/>
                <w:u w:val="single"/>
              </w:rPr>
              <w:t xml:space="preserve"> </w:t>
            </w:r>
            <w:r>
              <w:rPr>
                <w:color w:val="auto"/>
                <w:spacing w:val="-1"/>
                <w:u w:val="single"/>
              </w:rPr>
              <w:t>8</w:t>
            </w:r>
            <w:r>
              <w:rPr>
                <w:rFonts w:hint="eastAsia"/>
                <w:color w:val="auto"/>
                <w:spacing w:val="-1"/>
                <w:u w:val="single"/>
                <w:lang w:eastAsia="zh-CN"/>
              </w:rPr>
              <w:t>月建成，</w:t>
            </w:r>
            <w:r>
              <w:rPr>
                <w:rFonts w:hint="eastAsia"/>
                <w:color w:val="auto"/>
                <w:spacing w:val="-1"/>
                <w:u w:val="single"/>
                <w:lang w:val="en-US" w:eastAsia="zh-CN"/>
              </w:rPr>
              <w:t>2026年5月15日收到汉中市生态环境局佛坪分局行政处罚决定书，5月18日已缴纳罚款，取得缴款书</w:t>
            </w:r>
          </w:p>
        </w:tc>
        <w:tc>
          <w:tcPr>
            <w:tcW w:w="1883" w:type="dxa"/>
            <w:noWrap w:val="0"/>
            <w:tcMar>
              <w:top w:w="16" w:type="dxa"/>
              <w:left w:w="16" w:type="dxa"/>
              <w:right w:w="16" w:type="dxa"/>
            </w:tcMar>
            <w:vAlign w:val="center"/>
          </w:tcPr>
          <w:p w14:paraId="7E0842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lang w:eastAsia="zh-CN"/>
              </w:rPr>
            </w:pPr>
            <w:r>
              <w:rPr>
                <w:rFonts w:hint="eastAsia" w:ascii="Times New Roman" w:hAnsi="Times New Roman" w:eastAsia="宋体" w:cs="宋体"/>
                <w:color w:val="auto"/>
                <w:szCs w:val="21"/>
                <w:highlight w:val="none"/>
              </w:rPr>
              <w:t>用地面积</w:t>
            </w:r>
            <w:r>
              <w:rPr>
                <w:rFonts w:hint="eastAsia" w:cs="宋体"/>
                <w:color w:val="auto"/>
                <w:szCs w:val="21"/>
                <w:highlight w:val="none"/>
                <w:lang w:eastAsia="zh-CN"/>
              </w:rPr>
              <w:t>（</w:t>
            </w:r>
            <w:r>
              <w:rPr>
                <w:rFonts w:hint="default" w:ascii="Times New Roman" w:hAnsi="Times New Roman" w:cs="Times New Roman"/>
                <w:color w:val="auto"/>
                <w:spacing w:val="-6"/>
                <w:sz w:val="24"/>
                <w:szCs w:val="24"/>
              </w:rPr>
              <w:t>m</w:t>
            </w:r>
            <w:r>
              <w:rPr>
                <w:rFonts w:hint="default" w:ascii="Times New Roman" w:hAnsi="Times New Roman" w:cs="Times New Roman"/>
                <w:color w:val="auto"/>
                <w:spacing w:val="-6"/>
                <w:sz w:val="24"/>
                <w:szCs w:val="24"/>
                <w:vertAlign w:val="superscript"/>
              </w:rPr>
              <w:t>2</w:t>
            </w:r>
            <w:r>
              <w:rPr>
                <w:rFonts w:hint="eastAsia" w:cs="宋体"/>
                <w:color w:val="auto"/>
                <w:szCs w:val="21"/>
                <w:highlight w:val="none"/>
                <w:lang w:eastAsia="zh-CN"/>
              </w:rPr>
              <w:t>）</w:t>
            </w:r>
          </w:p>
        </w:tc>
        <w:tc>
          <w:tcPr>
            <w:tcW w:w="4074" w:type="dxa"/>
            <w:noWrap w:val="0"/>
            <w:vAlign w:val="center"/>
          </w:tcPr>
          <w:p w14:paraId="211B25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Cs w:val="21"/>
                <w:highlight w:val="none"/>
                <w:lang w:val="en-US" w:eastAsia="zh-CN"/>
              </w:rPr>
            </w:pPr>
            <w:r>
              <w:rPr>
                <w:rFonts w:hint="eastAsia" w:cs="宋体"/>
                <w:color w:val="auto"/>
                <w:szCs w:val="21"/>
                <w:highlight w:val="none"/>
                <w:lang w:val="en-US" w:eastAsia="zh-CN"/>
              </w:rPr>
              <w:t>3300</w:t>
            </w:r>
          </w:p>
        </w:tc>
      </w:tr>
      <w:tr w14:paraId="6FE40E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51" w:type="dxa"/>
            <w:noWrap w:val="0"/>
            <w:vAlign w:val="center"/>
          </w:tcPr>
          <w:p w14:paraId="606FE18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宋体" w:cs="宋体"/>
                <w:color w:val="auto"/>
                <w:kern w:val="0"/>
                <w:szCs w:val="21"/>
                <w:highlight w:val="none"/>
              </w:rPr>
            </w:pPr>
            <w:r>
              <w:rPr>
                <w:rFonts w:hint="eastAsia" w:ascii="Times New Roman" w:hAnsi="Times New Roman" w:eastAsia="宋体" w:cs="宋体"/>
                <w:color w:val="auto"/>
                <w:kern w:val="0"/>
                <w:szCs w:val="21"/>
                <w:highlight w:val="none"/>
              </w:rPr>
              <w:t>专项评价设置情况</w:t>
            </w:r>
          </w:p>
        </w:tc>
        <w:tc>
          <w:tcPr>
            <w:tcW w:w="8348" w:type="dxa"/>
            <w:gridSpan w:val="3"/>
            <w:noWrap w:val="0"/>
            <w:vAlign w:val="center"/>
          </w:tcPr>
          <w:p w14:paraId="37E0211D">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宋体"/>
                <w:color w:val="auto"/>
                <w:kern w:val="0"/>
                <w:szCs w:val="21"/>
                <w:highlight w:val="none"/>
                <w:lang w:val="en-US" w:eastAsia="zh-CN"/>
              </w:rPr>
            </w:pPr>
            <w:r>
              <w:rPr>
                <w:rFonts w:hint="eastAsia" w:ascii="Times New Roman" w:hAnsi="Times New Roman" w:eastAsia="宋体"/>
                <w:color w:val="auto"/>
                <w:highlight w:val="none"/>
                <w:lang w:val="en-US" w:eastAsia="zh-CN"/>
              </w:rPr>
              <w:t>无</w:t>
            </w:r>
          </w:p>
        </w:tc>
      </w:tr>
      <w:tr w14:paraId="1331AE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751" w:type="dxa"/>
            <w:noWrap w:val="0"/>
            <w:vAlign w:val="center"/>
          </w:tcPr>
          <w:p w14:paraId="28FE199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Cs w:val="21"/>
                <w:highlight w:val="none"/>
              </w:rPr>
            </w:pPr>
            <w:r>
              <w:rPr>
                <w:rFonts w:hint="eastAsia" w:ascii="Times New Roman" w:hAnsi="Times New Roman" w:eastAsia="宋体" w:cs="宋体"/>
                <w:color w:val="auto"/>
                <w:szCs w:val="21"/>
                <w:highlight w:val="none"/>
              </w:rPr>
              <w:t>规划情况</w:t>
            </w:r>
          </w:p>
        </w:tc>
        <w:tc>
          <w:tcPr>
            <w:tcW w:w="8348" w:type="dxa"/>
            <w:gridSpan w:val="3"/>
            <w:noWrap w:val="0"/>
            <w:vAlign w:val="center"/>
          </w:tcPr>
          <w:p w14:paraId="368652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宋体"/>
                <w:color w:val="auto"/>
                <w:kern w:val="0"/>
                <w:szCs w:val="21"/>
                <w:highlight w:val="none"/>
                <w:lang w:val="en-US" w:eastAsia="zh-CN" w:bidi="ar-SA"/>
              </w:rPr>
            </w:pPr>
            <w:r>
              <w:rPr>
                <w:rFonts w:hint="eastAsia" w:cs="宋体"/>
                <w:color w:val="auto"/>
                <w:kern w:val="0"/>
                <w:szCs w:val="21"/>
                <w:highlight w:val="none"/>
                <w:lang w:val="en-US" w:eastAsia="zh-CN" w:bidi="ar-SA"/>
              </w:rPr>
              <w:t>无</w:t>
            </w:r>
          </w:p>
        </w:tc>
      </w:tr>
      <w:tr w14:paraId="41C8C2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751" w:type="dxa"/>
            <w:noWrap w:val="0"/>
            <w:vAlign w:val="center"/>
          </w:tcPr>
          <w:p w14:paraId="0A6E216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规划环境影响</w:t>
            </w:r>
          </w:p>
          <w:p w14:paraId="18F173C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评价情况</w:t>
            </w:r>
          </w:p>
        </w:tc>
        <w:tc>
          <w:tcPr>
            <w:tcW w:w="8348" w:type="dxa"/>
            <w:gridSpan w:val="3"/>
            <w:noWrap w:val="0"/>
            <w:vAlign w:val="center"/>
          </w:tcPr>
          <w:p w14:paraId="43FC81C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宋体"/>
                <w:color w:val="auto"/>
                <w:szCs w:val="21"/>
                <w:highlight w:val="none"/>
                <w:lang w:val="en-US" w:eastAsia="zh-CN"/>
              </w:rPr>
            </w:pPr>
            <w:r>
              <w:rPr>
                <w:rFonts w:hint="eastAsia" w:ascii="Times New Roman" w:hAnsi="Times New Roman" w:eastAsia="宋体" w:cs="宋体"/>
                <w:color w:val="auto"/>
                <w:szCs w:val="21"/>
                <w:highlight w:val="none"/>
                <w:lang w:val="en-US" w:eastAsia="zh-CN"/>
              </w:rPr>
              <w:t>无</w:t>
            </w:r>
          </w:p>
        </w:tc>
      </w:tr>
      <w:tr w14:paraId="43E1BA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1751" w:type="dxa"/>
            <w:noWrap w:val="0"/>
            <w:vAlign w:val="center"/>
          </w:tcPr>
          <w:p w14:paraId="3880FBD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规划及规划环境影响评价符合性分析</w:t>
            </w:r>
          </w:p>
        </w:tc>
        <w:tc>
          <w:tcPr>
            <w:tcW w:w="8348" w:type="dxa"/>
            <w:gridSpan w:val="3"/>
            <w:noWrap w:val="0"/>
            <w:vAlign w:val="center"/>
          </w:tcPr>
          <w:p w14:paraId="1A160D7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宋体"/>
                <w:color w:val="auto"/>
                <w:szCs w:val="21"/>
                <w:highlight w:val="none"/>
                <w:lang w:eastAsia="zh-CN"/>
              </w:rPr>
            </w:pPr>
            <w:r>
              <w:rPr>
                <w:rFonts w:hint="eastAsia" w:ascii="Times New Roman" w:hAnsi="Times New Roman" w:eastAsia="宋体" w:cs="宋体"/>
                <w:color w:val="auto"/>
                <w:szCs w:val="21"/>
                <w:highlight w:val="none"/>
                <w:lang w:val="en-US" w:eastAsia="zh-CN"/>
              </w:rPr>
              <w:t>无</w:t>
            </w:r>
          </w:p>
        </w:tc>
      </w:tr>
      <w:tr w14:paraId="03A993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1751" w:type="dxa"/>
            <w:noWrap w:val="0"/>
            <w:vAlign w:val="center"/>
          </w:tcPr>
          <w:p w14:paraId="037135DE">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Times New Roman" w:hAnsi="Times New Roman" w:eastAsia="宋体" w:cs="宋体"/>
                <w:color w:val="auto"/>
                <w:kern w:val="0"/>
                <w:szCs w:val="21"/>
                <w:highlight w:val="none"/>
              </w:rPr>
            </w:pPr>
            <w:r>
              <w:rPr>
                <w:rFonts w:hint="eastAsia" w:ascii="Times New Roman" w:hAnsi="Times New Roman" w:eastAsia="宋体" w:cs="宋体"/>
                <w:color w:val="auto"/>
                <w:kern w:val="0"/>
                <w:szCs w:val="21"/>
                <w:highlight w:val="none"/>
              </w:rPr>
              <w:t>其他符合性分析</w:t>
            </w:r>
          </w:p>
        </w:tc>
        <w:tc>
          <w:tcPr>
            <w:tcW w:w="8348" w:type="dxa"/>
            <w:gridSpan w:val="3"/>
            <w:noWrap w:val="0"/>
            <w:vAlign w:val="center"/>
          </w:tcPr>
          <w:p w14:paraId="534FE371">
            <w:pPr>
              <w:keepNext w:val="0"/>
              <w:keepLines w:val="0"/>
              <w:pageBreakBefore w:val="0"/>
              <w:kinsoku/>
              <w:wordWrap/>
              <w:overflowPunct/>
              <w:topLinePunct w:val="0"/>
              <w:autoSpaceDE/>
              <w:autoSpaceDN/>
              <w:bidi w:val="0"/>
              <w:adjustRightInd w:val="0"/>
              <w:snapToGrid w:val="0"/>
              <w:spacing w:line="360" w:lineRule="auto"/>
              <w:textAlignment w:val="auto"/>
              <w:rPr>
                <w:rFonts w:ascii="Times New Roman" w:hAnsi="Times New Roman" w:eastAsia="宋体"/>
                <w:b/>
                <w:bCs/>
                <w:color w:val="auto"/>
                <w:sz w:val="24"/>
                <w:szCs w:val="24"/>
                <w:highlight w:val="none"/>
              </w:rPr>
            </w:pPr>
            <w:r>
              <w:rPr>
                <w:rFonts w:ascii="Times New Roman" w:hAnsi="Times New Roman" w:eastAsia="宋体"/>
                <w:b/>
                <w:bCs/>
                <w:color w:val="auto"/>
                <w:sz w:val="24"/>
                <w:szCs w:val="24"/>
                <w:highlight w:val="none"/>
              </w:rPr>
              <w:t>1</w:t>
            </w:r>
            <w:r>
              <w:rPr>
                <w:rFonts w:hint="eastAsia" w:ascii="Times New Roman" w:hAnsi="Times New Roman" w:eastAsia="宋体"/>
                <w:b/>
                <w:bCs/>
                <w:color w:val="auto"/>
                <w:sz w:val="24"/>
                <w:szCs w:val="24"/>
                <w:highlight w:val="none"/>
                <w:lang w:val="en-US" w:eastAsia="zh-CN"/>
              </w:rPr>
              <w:t>.1</w:t>
            </w:r>
            <w:r>
              <w:rPr>
                <w:rFonts w:ascii="Times New Roman" w:hAnsi="Times New Roman" w:eastAsia="宋体"/>
                <w:b/>
                <w:bCs/>
                <w:color w:val="auto"/>
                <w:sz w:val="24"/>
                <w:szCs w:val="24"/>
                <w:highlight w:val="none"/>
              </w:rPr>
              <w:t>产业政策的符合性</w:t>
            </w:r>
          </w:p>
          <w:p w14:paraId="60E06ECD">
            <w:pPr>
              <w:keepNext w:val="0"/>
              <w:keepLines w:val="0"/>
              <w:pageBreakBefore w:val="0"/>
              <w:widowControl w:val="0"/>
              <w:kinsoku/>
              <w:wordWrap w:val="0"/>
              <w:overflowPunct/>
              <w:topLinePunct w:val="0"/>
              <w:autoSpaceDE/>
              <w:autoSpaceDN/>
              <w:bidi w:val="0"/>
              <w:adjustRightInd w:val="0"/>
              <w:snapToGrid w:val="0"/>
              <w:textAlignment w:val="auto"/>
              <w:rPr>
                <w:rFonts w:hint="eastAsia"/>
                <w:color w:val="auto"/>
                <w:highlight w:val="none"/>
                <w:lang w:val="en-US" w:eastAsia="zh-CN"/>
              </w:rPr>
            </w:pPr>
            <w:r>
              <w:rPr>
                <w:rFonts w:hint="eastAsia" w:ascii="Times New Roman" w:hAnsi="Times New Roman" w:eastAsia="宋体"/>
                <w:color w:val="auto"/>
                <w:highlight w:val="none"/>
                <w:lang w:eastAsia="zh-CN"/>
              </w:rPr>
              <w:t>本项目</w:t>
            </w:r>
            <w:r>
              <w:rPr>
                <w:rFonts w:hint="eastAsia"/>
                <w:color w:val="auto"/>
                <w:highlight w:val="none"/>
                <w:lang w:val="en-US" w:eastAsia="zh-CN"/>
              </w:rPr>
              <w:t>属于</w:t>
            </w:r>
            <w:r>
              <w:rPr>
                <w:rFonts w:hint="default" w:ascii="Times New Roman" w:hAnsi="Times New Roman" w:eastAsia="宋体" w:cs="宋体"/>
                <w:color w:val="auto"/>
                <w:szCs w:val="21"/>
                <w:highlight w:val="none"/>
                <w:lang w:val="en-US" w:eastAsia="zh-CN"/>
              </w:rPr>
              <w:t>C</w:t>
            </w:r>
            <w:r>
              <w:rPr>
                <w:rFonts w:hint="eastAsia" w:cs="宋体"/>
                <w:color w:val="auto"/>
                <w:szCs w:val="21"/>
                <w:highlight w:val="none"/>
                <w:lang w:val="en-US" w:eastAsia="zh-CN"/>
              </w:rPr>
              <w:t>1519其他酒制造</w:t>
            </w:r>
            <w:r>
              <w:rPr>
                <w:rFonts w:hint="eastAsia" w:ascii="Times New Roman" w:hAnsi="Times New Roman" w:eastAsia="宋体"/>
                <w:color w:val="auto"/>
                <w:highlight w:val="none"/>
              </w:rPr>
              <w:t>，</w:t>
            </w:r>
            <w:r>
              <w:rPr>
                <w:rFonts w:hint="eastAsia" w:ascii="Times New Roman" w:hAnsi="Times New Roman" w:eastAsia="宋体"/>
                <w:color w:val="auto"/>
                <w:highlight w:val="none"/>
                <w:lang w:val="en-US" w:eastAsia="zh-CN"/>
              </w:rPr>
              <w:t>对照</w:t>
            </w:r>
            <w:r>
              <w:rPr>
                <w:rFonts w:hint="eastAsia"/>
                <w:color w:val="auto"/>
                <w:highlight w:val="none"/>
                <w:lang w:val="en-US" w:eastAsia="zh-CN"/>
              </w:rPr>
              <w:t>《产业结构调整指导目录（2024年本）》</w:t>
            </w:r>
            <w:r>
              <w:rPr>
                <w:rFonts w:hint="eastAsia" w:ascii="Times New Roman" w:hAnsi="Times New Roman" w:eastAsia="宋体"/>
                <w:color w:val="auto"/>
                <w:highlight w:val="none"/>
                <w:lang w:val="en-US" w:eastAsia="zh-CN"/>
              </w:rPr>
              <w:t>，</w:t>
            </w:r>
            <w:r>
              <w:rPr>
                <w:rFonts w:hint="eastAsia" w:ascii="Times New Roman" w:hAnsi="Times New Roman" w:eastAsia="宋体"/>
                <w:color w:val="auto"/>
                <w:highlight w:val="none"/>
                <w:lang w:eastAsia="zh-CN"/>
              </w:rPr>
              <w:t>本项目</w:t>
            </w:r>
            <w:r>
              <w:rPr>
                <w:rFonts w:hint="eastAsia" w:ascii="Times New Roman" w:hAnsi="Times New Roman" w:eastAsia="宋体"/>
                <w:color w:val="auto"/>
                <w:highlight w:val="none"/>
                <w:lang w:val="en-US" w:eastAsia="zh-CN"/>
              </w:rPr>
              <w:t>不</w:t>
            </w:r>
            <w:r>
              <w:rPr>
                <w:rFonts w:hint="default" w:ascii="Times New Roman" w:hAnsi="Times New Roman" w:eastAsia="宋体"/>
                <w:color w:val="auto"/>
                <w:highlight w:val="none"/>
              </w:rPr>
              <w:t>属于</w:t>
            </w:r>
            <w:r>
              <w:rPr>
                <w:rFonts w:hint="eastAsia" w:ascii="Times New Roman" w:hAnsi="Times New Roman" w:eastAsia="宋体"/>
                <w:color w:val="auto"/>
                <w:highlight w:val="none"/>
                <w:lang w:val="en-US" w:eastAsia="zh-CN"/>
              </w:rPr>
              <w:t>目录中的</w:t>
            </w:r>
            <w:r>
              <w:rPr>
                <w:rFonts w:hint="default" w:ascii="Times New Roman" w:hAnsi="Times New Roman" w:eastAsia="宋体"/>
                <w:color w:val="auto"/>
                <w:highlight w:val="none"/>
              </w:rPr>
              <w:t>鼓励类</w:t>
            </w:r>
            <w:r>
              <w:rPr>
                <w:rFonts w:hint="eastAsia" w:ascii="Times New Roman" w:hAnsi="Times New Roman" w:eastAsia="宋体"/>
                <w:color w:val="auto"/>
                <w:highlight w:val="none"/>
                <w:lang w:eastAsia="zh-CN"/>
              </w:rPr>
              <w:t>、</w:t>
            </w:r>
            <w:r>
              <w:rPr>
                <w:rFonts w:hint="eastAsia" w:ascii="Times New Roman" w:hAnsi="Times New Roman" w:eastAsia="宋体"/>
                <w:color w:val="auto"/>
                <w:highlight w:val="none"/>
                <w:lang w:val="en-US" w:eastAsia="zh-CN"/>
              </w:rPr>
              <w:t>限制类和淘汰类</w:t>
            </w:r>
            <w:r>
              <w:rPr>
                <w:rFonts w:hint="eastAsia"/>
                <w:color w:val="auto"/>
                <w:highlight w:val="none"/>
                <w:lang w:val="en-US" w:eastAsia="zh-CN"/>
              </w:rPr>
              <w:t>范畴</w:t>
            </w:r>
            <w:r>
              <w:rPr>
                <w:rFonts w:hint="eastAsia" w:ascii="Times New Roman" w:hAnsi="Times New Roman" w:eastAsia="宋体"/>
                <w:color w:val="auto"/>
                <w:highlight w:val="none"/>
                <w:lang w:val="en-US" w:eastAsia="zh-CN"/>
              </w:rPr>
              <w:t>，为允许</w:t>
            </w:r>
            <w:r>
              <w:rPr>
                <w:rFonts w:hint="eastAsia"/>
                <w:color w:val="auto"/>
                <w:highlight w:val="none"/>
                <w:lang w:val="en-US" w:eastAsia="zh-CN"/>
              </w:rPr>
              <w:t>类</w:t>
            </w:r>
            <w:r>
              <w:rPr>
                <w:rFonts w:hint="eastAsia" w:ascii="Times New Roman" w:hAnsi="Times New Roman" w:eastAsia="宋体"/>
                <w:color w:val="auto"/>
                <w:highlight w:val="none"/>
                <w:lang w:val="en-US" w:eastAsia="zh-CN"/>
              </w:rPr>
              <w:t>建设项目</w:t>
            </w:r>
            <w:r>
              <w:rPr>
                <w:rFonts w:ascii="Times New Roman" w:hAnsi="Times New Roman" w:eastAsia="宋体"/>
                <w:color w:val="auto"/>
                <w:highlight w:val="none"/>
              </w:rPr>
              <w:t>；</w:t>
            </w:r>
            <w:r>
              <w:rPr>
                <w:color w:val="auto"/>
                <w:sz w:val="24"/>
                <w:highlight w:val="none"/>
              </w:rPr>
              <w:t>同时，本项目未列入《市场准入负面清单（202</w:t>
            </w:r>
            <w:r>
              <w:rPr>
                <w:rFonts w:hint="eastAsia"/>
                <w:color w:val="auto"/>
                <w:sz w:val="24"/>
                <w:highlight w:val="none"/>
              </w:rPr>
              <w:t>5</w:t>
            </w:r>
            <w:r>
              <w:rPr>
                <w:color w:val="auto"/>
                <w:sz w:val="24"/>
                <w:highlight w:val="none"/>
              </w:rPr>
              <w:t>年版）》（发改体改规〔202</w:t>
            </w:r>
            <w:r>
              <w:rPr>
                <w:rFonts w:hint="eastAsia"/>
                <w:color w:val="auto"/>
                <w:sz w:val="24"/>
                <w:highlight w:val="none"/>
              </w:rPr>
              <w:t>5</w:t>
            </w:r>
            <w:r>
              <w:rPr>
                <w:color w:val="auto"/>
                <w:sz w:val="24"/>
                <w:highlight w:val="none"/>
              </w:rPr>
              <w:t>〕</w:t>
            </w:r>
            <w:r>
              <w:rPr>
                <w:rFonts w:hint="eastAsia"/>
                <w:color w:val="auto"/>
                <w:sz w:val="24"/>
                <w:highlight w:val="none"/>
              </w:rPr>
              <w:t>466</w:t>
            </w:r>
            <w:r>
              <w:rPr>
                <w:color w:val="auto"/>
                <w:sz w:val="24"/>
                <w:highlight w:val="none"/>
              </w:rPr>
              <w:t>号）的禁止准入</w:t>
            </w:r>
            <w:r>
              <w:rPr>
                <w:rFonts w:hint="eastAsia"/>
                <w:color w:val="auto"/>
                <w:sz w:val="24"/>
                <w:highlight w:val="none"/>
              </w:rPr>
              <w:t>事项和许可准入事项</w:t>
            </w:r>
            <w:r>
              <w:rPr>
                <w:color w:val="auto"/>
                <w:sz w:val="24"/>
                <w:highlight w:val="none"/>
              </w:rPr>
              <w:t>。</w:t>
            </w:r>
            <w:r>
              <w:rPr>
                <w:rFonts w:hint="eastAsia" w:cs="Times New Roman"/>
                <w:color w:val="auto"/>
                <w:highlight w:val="none"/>
                <w:lang w:val="en-US" w:eastAsia="zh-CN"/>
              </w:rPr>
              <w:t>2022年9月9日，取得佛坪县“食药同源”山茱萸酒生产项目备案确认书（</w:t>
            </w:r>
            <w:r>
              <w:rPr>
                <w:rFonts w:hint="eastAsia" w:ascii="Times New Roman" w:hAnsi="Times New Roman" w:cs="Times New Roman"/>
                <w:color w:val="auto"/>
                <w:highlight w:val="none"/>
                <w:lang w:val="en-US" w:eastAsia="zh-CN"/>
              </w:rPr>
              <w:t>项目代码：2</w:t>
            </w:r>
            <w:r>
              <w:rPr>
                <w:rFonts w:hint="eastAsia" w:cs="Times New Roman"/>
                <w:color w:val="auto"/>
                <w:highlight w:val="none"/>
                <w:lang w:val="en-US" w:eastAsia="zh-CN"/>
              </w:rPr>
              <w:t>209</w:t>
            </w:r>
            <w:r>
              <w:rPr>
                <w:rFonts w:hint="eastAsia" w:ascii="Times New Roman" w:hAnsi="Times New Roman" w:cs="Times New Roman"/>
                <w:color w:val="auto"/>
                <w:highlight w:val="none"/>
                <w:lang w:val="en-US" w:eastAsia="zh-CN"/>
              </w:rPr>
              <w:t>-610</w:t>
            </w:r>
            <w:r>
              <w:rPr>
                <w:rFonts w:hint="eastAsia" w:cs="Times New Roman"/>
                <w:color w:val="auto"/>
                <w:highlight w:val="none"/>
                <w:lang w:val="en-US" w:eastAsia="zh-CN"/>
              </w:rPr>
              <w:t>73</w:t>
            </w:r>
            <w:r>
              <w:rPr>
                <w:rFonts w:hint="eastAsia" w:ascii="Times New Roman" w:hAnsi="Times New Roman" w:cs="Times New Roman"/>
                <w:color w:val="auto"/>
                <w:highlight w:val="none"/>
                <w:lang w:val="en-US" w:eastAsia="zh-CN"/>
              </w:rPr>
              <w:t>0-</w:t>
            </w:r>
            <w:r>
              <w:rPr>
                <w:rFonts w:hint="eastAsia" w:cs="Times New Roman"/>
                <w:color w:val="auto"/>
                <w:highlight w:val="none"/>
                <w:lang w:val="en-US" w:eastAsia="zh-CN"/>
              </w:rPr>
              <w:t>04</w:t>
            </w:r>
            <w:r>
              <w:rPr>
                <w:rFonts w:hint="eastAsia" w:ascii="Times New Roman" w:hAnsi="Times New Roman" w:cs="Times New Roman"/>
                <w:color w:val="auto"/>
                <w:highlight w:val="none"/>
                <w:lang w:val="en-US" w:eastAsia="zh-CN"/>
              </w:rPr>
              <w:t>-0</w:t>
            </w:r>
            <w:r>
              <w:rPr>
                <w:rFonts w:hint="eastAsia" w:cs="Times New Roman"/>
                <w:color w:val="auto"/>
                <w:highlight w:val="none"/>
                <w:lang w:val="en-US" w:eastAsia="zh-CN"/>
              </w:rPr>
              <w:t>1</w:t>
            </w:r>
            <w:r>
              <w:rPr>
                <w:rFonts w:hint="eastAsia" w:ascii="Times New Roman" w:hAnsi="Times New Roman" w:cs="Times New Roman"/>
                <w:color w:val="auto"/>
                <w:highlight w:val="none"/>
                <w:lang w:val="en-US" w:eastAsia="zh-CN"/>
              </w:rPr>
              <w:t>-</w:t>
            </w:r>
            <w:r>
              <w:rPr>
                <w:rFonts w:hint="eastAsia" w:cs="Times New Roman"/>
                <w:color w:val="auto"/>
                <w:highlight w:val="none"/>
                <w:lang w:val="en-US" w:eastAsia="zh-CN"/>
              </w:rPr>
              <w:t>980841</w:t>
            </w:r>
            <w:r>
              <w:rPr>
                <w:rFonts w:hint="eastAsia" w:ascii="Times New Roman" w:hAnsi="Times New Roman" w:cs="Times New Roman"/>
                <w:color w:val="auto"/>
                <w:highlight w:val="none"/>
                <w:lang w:val="en-US" w:eastAsia="zh-CN"/>
              </w:rPr>
              <w:t>）</w:t>
            </w:r>
            <w:r>
              <w:rPr>
                <w:rFonts w:hint="eastAsia" w:cs="Times New Roman"/>
                <w:color w:val="auto"/>
                <w:highlight w:val="none"/>
                <w:lang w:val="en-US" w:eastAsia="zh-CN"/>
              </w:rPr>
              <w:t>，</w:t>
            </w:r>
            <w:r>
              <w:rPr>
                <w:rFonts w:hint="eastAsia" w:ascii="Times New Roman" w:hAnsi="Times New Roman" w:eastAsia="宋体" w:cs="Times New Roman"/>
                <w:color w:val="auto"/>
                <w:sz w:val="24"/>
                <w:szCs w:val="24"/>
                <w:highlight w:val="none"/>
                <w:lang w:val="en-US" w:eastAsia="zh-CN"/>
              </w:rPr>
              <w:t>拟投资</w:t>
            </w:r>
            <w:r>
              <w:rPr>
                <w:rFonts w:hint="eastAsia" w:cs="Times New Roman"/>
                <w:color w:val="auto"/>
                <w:sz w:val="24"/>
                <w:szCs w:val="24"/>
                <w:highlight w:val="none"/>
                <w:lang w:val="en-US" w:eastAsia="zh-CN"/>
              </w:rPr>
              <w:t>220</w:t>
            </w:r>
            <w:r>
              <w:rPr>
                <w:rFonts w:hint="eastAsia" w:ascii="Times New Roman" w:hAnsi="Times New Roman" w:eastAsia="宋体" w:cs="Times New Roman"/>
                <w:color w:val="auto"/>
                <w:sz w:val="24"/>
                <w:szCs w:val="24"/>
                <w:highlight w:val="none"/>
                <w:lang w:val="en-US" w:eastAsia="zh-CN"/>
              </w:rPr>
              <w:t>0万元</w:t>
            </w:r>
            <w:r>
              <w:rPr>
                <w:rFonts w:hint="eastAsia" w:cs="Times New Roman"/>
                <w:color w:val="auto"/>
                <w:sz w:val="24"/>
                <w:szCs w:val="24"/>
                <w:highlight w:val="none"/>
                <w:lang w:val="en-US" w:eastAsia="zh-CN"/>
              </w:rPr>
              <w:t>新建1</w:t>
            </w:r>
            <w:r>
              <w:rPr>
                <w:rFonts w:hint="eastAsia" w:ascii="Times New Roman" w:hAnsi="Times New Roman" w:eastAsia="宋体" w:cs="Times New Roman"/>
                <w:color w:val="auto"/>
                <w:sz w:val="24"/>
                <w:szCs w:val="24"/>
                <w:highlight w:val="none"/>
                <w:lang w:val="en-US" w:eastAsia="zh-CN"/>
              </w:rPr>
              <w:t>条</w:t>
            </w:r>
            <w:r>
              <w:rPr>
                <w:rFonts w:hint="eastAsia" w:cs="Times New Roman"/>
                <w:color w:val="auto"/>
                <w:sz w:val="24"/>
                <w:szCs w:val="24"/>
                <w:highlight w:val="none"/>
                <w:lang w:val="en-US" w:eastAsia="zh-CN"/>
              </w:rPr>
              <w:t>年产</w:t>
            </w:r>
            <w:r>
              <w:rPr>
                <w:rFonts w:hint="eastAsia" w:cs="宋体"/>
                <w:color w:val="auto"/>
                <w:szCs w:val="21"/>
                <w:highlight w:val="none"/>
                <w:lang w:eastAsia="zh-CN"/>
              </w:rPr>
              <w:t>山茱萸酒</w:t>
            </w:r>
            <w:r>
              <w:rPr>
                <w:rFonts w:hint="eastAsia" w:cs="Times New Roman"/>
                <w:color w:val="auto"/>
                <w:sz w:val="24"/>
                <w:szCs w:val="24"/>
                <w:highlight w:val="none"/>
                <w:lang w:val="en-US" w:eastAsia="zh-CN"/>
              </w:rPr>
              <w:t>200t</w:t>
            </w:r>
            <w:r>
              <w:rPr>
                <w:rFonts w:hint="eastAsia" w:ascii="Times New Roman" w:hAnsi="Times New Roman" w:eastAsia="宋体" w:cs="Times New Roman"/>
                <w:color w:val="auto"/>
                <w:sz w:val="24"/>
                <w:szCs w:val="24"/>
                <w:highlight w:val="none"/>
                <w:lang w:val="en-US" w:eastAsia="zh-CN"/>
              </w:rPr>
              <w:t>生产线</w:t>
            </w:r>
            <w:r>
              <w:rPr>
                <w:rFonts w:hint="eastAsia" w:cs="Times New Roman"/>
                <w:color w:val="auto"/>
                <w:sz w:val="24"/>
                <w:szCs w:val="24"/>
                <w:highlight w:val="none"/>
                <w:lang w:val="en-US" w:eastAsia="zh-CN"/>
              </w:rPr>
              <w:t>。</w:t>
            </w:r>
            <w:r>
              <w:rPr>
                <w:rFonts w:ascii="Times New Roman" w:hAnsi="Times New Roman" w:eastAsia="宋体" w:cs="宋体"/>
                <w:color w:val="auto"/>
                <w:kern w:val="0"/>
                <w:sz w:val="24"/>
                <w:szCs w:val="24"/>
                <w:lang w:val="en-US" w:eastAsia="zh-CN" w:bidi="ar"/>
              </w:rPr>
              <w:t>在推进过程中，受多重客观因素影响及企业经营规划调整，项目</w:t>
            </w:r>
            <w:r>
              <w:rPr>
                <w:rFonts w:hint="eastAsia" w:ascii="Times New Roman" w:hAnsi="Times New Roman" w:eastAsia="宋体" w:cs="宋体"/>
                <w:color w:val="auto"/>
                <w:kern w:val="0"/>
                <w:sz w:val="24"/>
                <w:szCs w:val="24"/>
                <w:lang w:val="en-US" w:eastAsia="zh-CN" w:bidi="ar"/>
              </w:rPr>
              <w:t>实际</w:t>
            </w:r>
            <w:r>
              <w:rPr>
                <w:rFonts w:ascii="Times New Roman" w:hAnsi="Times New Roman" w:eastAsia="宋体" w:cs="宋体"/>
                <w:color w:val="auto"/>
                <w:kern w:val="0"/>
                <w:sz w:val="24"/>
                <w:szCs w:val="24"/>
                <w:lang w:val="en-US" w:eastAsia="zh-CN" w:bidi="ar"/>
              </w:rPr>
              <w:t>投资额、建设内容发生变更，同时</w:t>
            </w:r>
            <w:r>
              <w:rPr>
                <w:rFonts w:hint="eastAsia" w:cs="宋体"/>
                <w:color w:val="auto"/>
                <w:kern w:val="0"/>
                <w:sz w:val="24"/>
                <w:szCs w:val="24"/>
                <w:lang w:val="en-US" w:eastAsia="zh-CN" w:bidi="ar"/>
              </w:rPr>
              <w:t>因为</w:t>
            </w:r>
            <w:r>
              <w:rPr>
                <w:rFonts w:ascii="Times New Roman" w:hAnsi="Times New Roman" w:eastAsia="宋体" w:cs="宋体"/>
                <w:color w:val="auto"/>
                <w:kern w:val="0"/>
                <w:sz w:val="24"/>
                <w:szCs w:val="24"/>
                <w:lang w:val="en-US" w:eastAsia="zh-CN" w:bidi="ar"/>
              </w:rPr>
              <w:t>新增产品</w:t>
            </w:r>
            <w:r>
              <w:rPr>
                <w:rFonts w:hint="eastAsia" w:cs="宋体"/>
                <w:color w:val="auto"/>
                <w:kern w:val="0"/>
                <w:sz w:val="24"/>
                <w:szCs w:val="24"/>
                <w:lang w:val="en-US" w:eastAsia="zh-CN" w:bidi="ar"/>
              </w:rPr>
              <w:t>的原因，于</w:t>
            </w:r>
            <w:r>
              <w:rPr>
                <w:rFonts w:hint="eastAsia"/>
                <w:color w:val="auto"/>
                <w:highlight w:val="none"/>
                <w:lang w:val="en-US" w:eastAsia="zh-CN"/>
              </w:rPr>
              <w:t>2026年4月23日</w:t>
            </w:r>
            <w:r>
              <w:rPr>
                <w:rFonts w:ascii="Times New Roman" w:hAnsi="Times New Roman" w:eastAsia="宋体" w:cs="宋体"/>
                <w:color w:val="auto"/>
                <w:kern w:val="0"/>
                <w:sz w:val="24"/>
                <w:szCs w:val="24"/>
                <w:lang w:val="en-US" w:eastAsia="zh-CN" w:bidi="ar"/>
              </w:rPr>
              <w:t>申请了新的项目备案</w:t>
            </w:r>
            <w:r>
              <w:rPr>
                <w:rFonts w:hint="eastAsia" w:cs="宋体"/>
                <w:color w:val="auto"/>
                <w:kern w:val="0"/>
                <w:sz w:val="24"/>
                <w:szCs w:val="24"/>
                <w:lang w:val="en-US" w:eastAsia="zh-CN" w:bidi="ar"/>
              </w:rPr>
              <w:t>，</w:t>
            </w:r>
            <w:r>
              <w:rPr>
                <w:rFonts w:hint="eastAsia"/>
                <w:color w:val="auto"/>
                <w:highlight w:val="none"/>
                <w:lang w:val="en-US" w:eastAsia="zh-CN"/>
              </w:rPr>
              <w:t>项目代码为2602-610730-04-02-126128，详见附件2。</w:t>
            </w:r>
          </w:p>
          <w:p w14:paraId="1A79E705">
            <w:pPr>
              <w:bidi w:val="0"/>
              <w:rPr>
                <w:rFonts w:ascii="Times New Roman" w:hAnsi="Times New Roman" w:eastAsia="宋体"/>
                <w:color w:val="auto"/>
                <w:highlight w:val="none"/>
              </w:rPr>
            </w:pPr>
            <w:r>
              <w:rPr>
                <w:rFonts w:hint="eastAsia"/>
                <w:color w:val="auto"/>
                <w:highlight w:val="none"/>
                <w:lang w:val="en-US" w:eastAsia="zh-CN"/>
              </w:rPr>
              <w:t>综上，</w:t>
            </w:r>
            <w:r>
              <w:rPr>
                <w:rFonts w:hint="eastAsia" w:ascii="Times New Roman" w:hAnsi="Times New Roman" w:eastAsia="宋体"/>
                <w:color w:val="auto"/>
                <w:highlight w:val="none"/>
                <w:lang w:eastAsia="zh-CN"/>
              </w:rPr>
              <w:t>本项目</w:t>
            </w:r>
            <w:r>
              <w:rPr>
                <w:rFonts w:hint="eastAsia"/>
                <w:color w:val="auto"/>
                <w:highlight w:val="none"/>
                <w:lang w:eastAsia="zh-CN"/>
              </w:rPr>
              <w:t>建设</w:t>
            </w:r>
            <w:r>
              <w:rPr>
                <w:rFonts w:ascii="Times New Roman" w:hAnsi="Times New Roman" w:eastAsia="宋体"/>
                <w:color w:val="auto"/>
                <w:highlight w:val="none"/>
              </w:rPr>
              <w:t>符合国家</w:t>
            </w:r>
            <w:r>
              <w:rPr>
                <w:rFonts w:hint="eastAsia"/>
                <w:color w:val="auto"/>
                <w:highlight w:val="none"/>
                <w:lang w:eastAsia="zh-CN"/>
              </w:rPr>
              <w:t>和地方相关</w:t>
            </w:r>
            <w:r>
              <w:rPr>
                <w:rFonts w:ascii="Times New Roman" w:hAnsi="Times New Roman" w:eastAsia="宋体"/>
                <w:color w:val="auto"/>
                <w:highlight w:val="none"/>
              </w:rPr>
              <w:t>产业政策。</w:t>
            </w:r>
          </w:p>
          <w:p w14:paraId="61677164">
            <w:pPr>
              <w:keepNext w:val="0"/>
              <w:keepLines w:val="0"/>
              <w:pageBreakBefore w:val="0"/>
              <w:kinsoku/>
              <w:wordWrap/>
              <w:overflowPunct/>
              <w:topLinePunct w:val="0"/>
              <w:autoSpaceDE/>
              <w:autoSpaceDN/>
              <w:bidi w:val="0"/>
              <w:adjustRightInd w:val="0"/>
              <w:snapToGrid w:val="0"/>
              <w:spacing w:line="360" w:lineRule="auto"/>
              <w:textAlignment w:val="auto"/>
              <w:rPr>
                <w:rFonts w:ascii="Times New Roman" w:hAnsi="Times New Roman" w:eastAsia="宋体"/>
                <w:b/>
                <w:bCs/>
                <w:color w:val="auto"/>
                <w:sz w:val="24"/>
                <w:szCs w:val="24"/>
                <w:highlight w:val="none"/>
              </w:rPr>
            </w:pPr>
            <w:r>
              <w:rPr>
                <w:rFonts w:hint="eastAsia" w:ascii="Times New Roman" w:hAnsi="Times New Roman" w:eastAsia="宋体"/>
                <w:b/>
                <w:bCs/>
                <w:color w:val="auto"/>
                <w:sz w:val="24"/>
                <w:szCs w:val="24"/>
                <w:highlight w:val="none"/>
                <w:lang w:val="en-US" w:eastAsia="zh-CN"/>
              </w:rPr>
              <w:t>1.2</w:t>
            </w:r>
            <w:r>
              <w:rPr>
                <w:rFonts w:ascii="Times New Roman" w:hAnsi="Times New Roman" w:eastAsia="宋体"/>
                <w:b/>
                <w:bCs/>
                <w:color w:val="auto"/>
                <w:sz w:val="24"/>
                <w:szCs w:val="24"/>
                <w:highlight w:val="none"/>
              </w:rPr>
              <w:t>选址可行性分析</w:t>
            </w:r>
          </w:p>
          <w:p w14:paraId="6B5C70E1">
            <w:pPr>
              <w:spacing w:line="360" w:lineRule="auto"/>
              <w:ind w:firstLine="480" w:firstLineChars="200"/>
            </w:pPr>
            <w:r>
              <w:rPr>
                <w:rFonts w:hint="eastAsia"/>
                <w:color w:val="auto"/>
                <w:sz w:val="24"/>
                <w:lang w:eastAsia="zh-CN"/>
              </w:rPr>
              <w:t>本</w:t>
            </w:r>
            <w:r>
              <w:rPr>
                <w:rFonts w:hint="eastAsia" w:ascii="Times New Roman" w:hAnsi="Times New Roman" w:eastAsia="宋体"/>
                <w:color w:val="auto"/>
                <w:highlight w:val="none"/>
                <w:lang w:eastAsia="zh-CN"/>
              </w:rPr>
              <w:t>项目</w:t>
            </w:r>
            <w:r>
              <w:rPr>
                <w:rFonts w:hint="eastAsia"/>
                <w:color w:val="auto"/>
                <w:highlight w:val="none"/>
                <w:lang w:eastAsia="zh-CN"/>
              </w:rPr>
              <w:t>厂房位于陕西省汉中市佛坪县袁家庄街道办塘湾路</w:t>
            </w:r>
            <w:r>
              <w:rPr>
                <w:rFonts w:hint="eastAsia"/>
                <w:color w:val="auto"/>
                <w:highlight w:val="none"/>
                <w:lang w:val="en-US" w:eastAsia="zh-CN"/>
              </w:rPr>
              <w:t>38</w:t>
            </w:r>
            <w:r>
              <w:rPr>
                <w:rFonts w:hint="eastAsia"/>
                <w:color w:val="auto"/>
                <w:highlight w:val="none"/>
                <w:lang w:eastAsia="zh-CN"/>
              </w:rPr>
              <w:t>号，用地性质为工业用地，用地性质说明见附件</w:t>
            </w:r>
            <w:r>
              <w:rPr>
                <w:rFonts w:hint="eastAsia"/>
                <w:color w:val="auto"/>
                <w:highlight w:val="none"/>
                <w:lang w:val="en-US" w:eastAsia="zh-CN"/>
              </w:rPr>
              <w:t>3</w:t>
            </w:r>
            <w:r>
              <w:rPr>
                <w:rFonts w:hint="eastAsia"/>
                <w:color w:val="FF0000"/>
                <w:highlight w:val="none"/>
                <w:lang w:val="en-US" w:eastAsia="zh-CN"/>
              </w:rPr>
              <w:t>（附件3中佛坪县“食药同源”山茱萸酒生产项目为本项目首次备案名称）</w:t>
            </w:r>
            <w:r>
              <w:rPr>
                <w:rFonts w:hint="eastAsia"/>
                <w:color w:val="auto"/>
                <w:highlight w:val="none"/>
                <w:lang w:eastAsia="zh-CN"/>
              </w:rPr>
              <w:t>，项目租赁佛坪县秦泉饮料食品有限责任公司（</w:t>
            </w:r>
            <w:r>
              <w:rPr>
                <w:rFonts w:hint="eastAsia"/>
                <w:color w:val="auto"/>
                <w:highlight w:val="none"/>
                <w:lang w:val="en-US" w:eastAsia="zh-CN"/>
              </w:rPr>
              <w:t>隶属于佛坪县经济贸易局）</w:t>
            </w:r>
            <w:r>
              <w:rPr>
                <w:rFonts w:hint="eastAsia"/>
                <w:color w:val="auto"/>
                <w:highlight w:val="none"/>
                <w:lang w:eastAsia="zh-CN"/>
              </w:rPr>
              <w:t>已有厂区</w:t>
            </w:r>
            <w:r>
              <w:rPr>
                <w:rFonts w:hint="eastAsia" w:ascii="Times New Roman" w:hAnsi="Times New Roman" w:eastAsia="宋体"/>
                <w:color w:val="auto"/>
                <w:highlight w:val="none"/>
                <w:lang w:eastAsia="zh-CN"/>
              </w:rPr>
              <w:t>，</w:t>
            </w:r>
            <w:r>
              <w:rPr>
                <w:rFonts w:hint="eastAsia"/>
                <w:color w:val="auto"/>
                <w:highlight w:val="none"/>
                <w:lang w:eastAsia="zh-CN"/>
              </w:rPr>
              <w:t>租赁合同见附件</w:t>
            </w:r>
            <w:r>
              <w:rPr>
                <w:rFonts w:hint="eastAsia"/>
                <w:color w:val="auto"/>
                <w:highlight w:val="none"/>
                <w:lang w:val="en-US" w:eastAsia="zh-CN"/>
              </w:rPr>
              <w:t>4，</w:t>
            </w:r>
            <w:r>
              <w:rPr>
                <w:rFonts w:hint="eastAsia"/>
                <w:color w:val="auto"/>
                <w:highlight w:val="none"/>
                <w:lang w:eastAsia="zh-CN"/>
              </w:rPr>
              <w:t>从事山茱萸酒的生产，</w:t>
            </w:r>
            <w:r>
              <w:rPr>
                <w:rFonts w:hint="eastAsia" w:ascii="Times New Roman" w:hAnsi="Times New Roman" w:eastAsia="宋体"/>
                <w:color w:val="auto"/>
                <w:highlight w:val="none"/>
                <w:lang w:val="en-US" w:eastAsia="zh-CN"/>
              </w:rPr>
              <w:t>根据现场勘查，本项目评价范围内无《建设项目环境影响评价分类管理名录》中第五条规定的（一）、（二）类环境保护区，如自然保护区、风景名胜区、世界文化和自然遗产地，不在国家、地方规划的重点生态功能区的敏感区域内</w:t>
            </w:r>
            <w:r>
              <w:rPr>
                <w:rFonts w:ascii="Times New Roman" w:hAnsi="Times New Roman" w:eastAsia="宋体"/>
                <w:color w:val="auto"/>
                <w:highlight w:val="none"/>
              </w:rPr>
              <w:t>。</w:t>
            </w:r>
            <w:r>
              <w:rPr>
                <w:rFonts w:hint="eastAsia"/>
                <w:color w:val="FF0000"/>
                <w:highlight w:val="none"/>
                <w:lang w:eastAsia="zh-CN"/>
              </w:rPr>
              <w:t>根据引汉济渭水源地保护区划分范围，本项目位于引汉济渭水源地准保护区，项目产生的污染物极少，生产废水经收集桶收集后检测合格拉运至佛坪县污水处理厂，生活污水经市政管网进入佛坪县污水处理厂，不属于对水体污染严重的建设项目，同时，</w:t>
            </w:r>
            <w:r>
              <w:rPr>
                <w:rFonts w:hint="eastAsia"/>
                <w:color w:val="FF0000"/>
                <w:highlight w:val="none"/>
                <w:lang w:val="en-US" w:eastAsia="zh-CN"/>
              </w:rPr>
              <w:t>本项目满足《食品安全国家标准 食品生产通用卫生规范》（GB14881-2013）中选址要求，厂区及四邻区域不存在对食品有显著的污染，也不会产生有害气体、放射性物质和其他扩散性污染源，在</w:t>
            </w:r>
            <w:r>
              <w:rPr>
                <w:rFonts w:hint="eastAsia" w:ascii="Times New Roman" w:hAnsi="Times New Roman" w:eastAsia="宋体"/>
                <w:color w:val="auto"/>
                <w:highlight w:val="none"/>
                <w:lang w:val="en-US" w:eastAsia="zh-CN"/>
              </w:rPr>
              <w:t>严格落实本</w:t>
            </w:r>
            <w:r>
              <w:rPr>
                <w:rFonts w:hint="eastAsia"/>
                <w:color w:val="auto"/>
                <w:highlight w:val="none"/>
                <w:lang w:val="en-US" w:eastAsia="zh-CN"/>
              </w:rPr>
              <w:t>环评</w:t>
            </w:r>
            <w:r>
              <w:rPr>
                <w:rFonts w:hint="eastAsia" w:ascii="Times New Roman" w:hAnsi="Times New Roman" w:eastAsia="宋体"/>
                <w:color w:val="auto"/>
                <w:highlight w:val="none"/>
                <w:lang w:val="en-US" w:eastAsia="zh-CN"/>
              </w:rPr>
              <w:t>提出的</w:t>
            </w:r>
            <w:r>
              <w:rPr>
                <w:rFonts w:hint="eastAsia"/>
                <w:color w:val="auto"/>
                <w:sz w:val="24"/>
                <w:highlight w:val="none"/>
              </w:rPr>
              <w:t>污染防治及风险防范措施后</w:t>
            </w:r>
            <w:r>
              <w:rPr>
                <w:rFonts w:hint="eastAsia" w:ascii="Times New Roman" w:hAnsi="Times New Roman" w:eastAsia="宋体"/>
                <w:color w:val="auto"/>
                <w:highlight w:val="none"/>
                <w:lang w:val="en-US" w:eastAsia="zh-CN"/>
              </w:rPr>
              <w:t>，运行期项目各类污染物均能达标排放，对周边环境影响小，环境风险可以控制在当地环境接受的程度。从</w:t>
            </w:r>
            <w:r>
              <w:rPr>
                <w:rFonts w:hint="eastAsia"/>
                <w:color w:val="auto"/>
                <w:highlight w:val="none"/>
                <w:lang w:val="en-US" w:eastAsia="zh-CN"/>
              </w:rPr>
              <w:t>环境影响</w:t>
            </w:r>
            <w:r>
              <w:rPr>
                <w:rFonts w:hint="eastAsia" w:ascii="Times New Roman" w:hAnsi="Times New Roman" w:eastAsia="宋体"/>
                <w:color w:val="auto"/>
                <w:highlight w:val="none"/>
                <w:lang w:val="en-US" w:eastAsia="zh-CN"/>
              </w:rPr>
              <w:t>角度分析，项目选址合理</w:t>
            </w:r>
            <w:r>
              <w:rPr>
                <w:rFonts w:hint="eastAsia" w:ascii="Times New Roman" w:hAnsi="Times New Roman" w:eastAsia="宋体"/>
                <w:color w:val="auto"/>
                <w:highlight w:val="none"/>
                <w:lang w:eastAsia="zh-CN"/>
              </w:rPr>
              <w:t>。本项目</w:t>
            </w:r>
            <w:r>
              <w:rPr>
                <w:rFonts w:hint="eastAsia" w:ascii="Times New Roman" w:hAnsi="Times New Roman" w:eastAsia="宋体"/>
                <w:color w:val="auto"/>
                <w:highlight w:val="none"/>
              </w:rPr>
              <w:t>地理位置见附图</w:t>
            </w:r>
            <w:r>
              <w:rPr>
                <w:rFonts w:hint="eastAsia" w:ascii="Times New Roman" w:hAnsi="Times New Roman" w:eastAsia="宋体"/>
                <w:color w:val="auto"/>
                <w:highlight w:val="none"/>
                <w:lang w:val="en-US" w:eastAsia="zh-CN"/>
              </w:rPr>
              <w:t>1</w:t>
            </w:r>
            <w:r>
              <w:rPr>
                <w:rFonts w:ascii="Times New Roman" w:hAnsi="Times New Roman" w:eastAsia="宋体"/>
                <w:color w:val="auto"/>
                <w:highlight w:val="none"/>
              </w:rPr>
              <w:t>。</w:t>
            </w:r>
          </w:p>
          <w:p w14:paraId="598F7C0F">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1.3“三线一单”符合性分析</w:t>
            </w:r>
          </w:p>
          <w:p w14:paraId="15720088">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1.</w:t>
            </w:r>
            <w:r>
              <w:rPr>
                <w:rFonts w:hint="eastAsia"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lang w:val="en-US" w:eastAsia="zh-CN"/>
              </w:rPr>
              <w:t>.1</w:t>
            </w:r>
            <w:r>
              <w:rPr>
                <w:rFonts w:hint="eastAsia" w:ascii="Times New Roman" w:hAnsi="Times New Roman" w:eastAsia="宋体" w:cs="Times New Roman"/>
                <w:b/>
                <w:bCs/>
                <w:color w:val="auto"/>
                <w:sz w:val="24"/>
                <w:szCs w:val="24"/>
                <w:highlight w:val="none"/>
                <w:lang w:val="en-US" w:eastAsia="zh-CN"/>
              </w:rPr>
              <w:t xml:space="preserve"> </w:t>
            </w:r>
            <w:r>
              <w:rPr>
                <w:rFonts w:hint="eastAsia" w:cs="Times New Roman"/>
                <w:b/>
                <w:bCs/>
                <w:color w:val="auto"/>
                <w:sz w:val="24"/>
                <w:szCs w:val="24"/>
                <w:highlight w:val="none"/>
                <w:lang w:val="en-US" w:eastAsia="zh-CN"/>
              </w:rPr>
              <w:t>“三线一单”符合性分析</w:t>
            </w:r>
          </w:p>
          <w:p w14:paraId="141EED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eastAsia" w:ascii="Times New Roman" w:hAnsi="Times New Roman" w:eastAsia="宋体" w:cs="Times New Roman"/>
                <w:b/>
                <w:bCs/>
                <w:color w:val="auto"/>
                <w:sz w:val="21"/>
                <w:szCs w:val="21"/>
                <w:lang w:val="en-US" w:eastAsia="zh-CN"/>
              </w:rPr>
              <w:t>1-</w:t>
            </w:r>
            <w:r>
              <w:rPr>
                <w:rFonts w:hint="eastAsia" w:cs="Times New Roman"/>
                <w:b/>
                <w:bCs/>
                <w:color w:val="auto"/>
                <w:sz w:val="21"/>
                <w:szCs w:val="21"/>
                <w:lang w:val="en-US" w:eastAsia="zh-CN"/>
              </w:rPr>
              <w:t xml:space="preserve">1 </w:t>
            </w:r>
            <w:r>
              <w:rPr>
                <w:rFonts w:hint="eastAsia" w:ascii="Times New Roman" w:hAnsi="Times New Roman" w:eastAsia="宋体" w:cs="Times New Roman"/>
                <w:b/>
                <w:bCs/>
                <w:color w:val="auto"/>
                <w:sz w:val="21"/>
                <w:szCs w:val="21"/>
                <w:lang w:eastAsia="zh-CN"/>
              </w:rPr>
              <w:t>本</w:t>
            </w:r>
            <w:r>
              <w:rPr>
                <w:rFonts w:hint="default" w:ascii="Times New Roman" w:hAnsi="Times New Roman" w:eastAsia="宋体" w:cs="Times New Roman"/>
                <w:b/>
                <w:bCs/>
                <w:color w:val="auto"/>
                <w:sz w:val="21"/>
                <w:szCs w:val="21"/>
              </w:rPr>
              <w:t>项目建设与陕西省</w:t>
            </w:r>
            <w:r>
              <w:rPr>
                <w:rFonts w:hint="eastAsia" w:cs="Times New Roman"/>
                <w:b/>
                <w:bCs/>
                <w:color w:val="auto"/>
                <w:sz w:val="21"/>
                <w:szCs w:val="21"/>
                <w:lang w:eastAsia="zh-CN"/>
              </w:rPr>
              <w:t>“</w:t>
            </w:r>
            <w:r>
              <w:rPr>
                <w:rFonts w:hint="default" w:ascii="Times New Roman" w:hAnsi="Times New Roman" w:eastAsia="宋体" w:cs="Times New Roman"/>
                <w:b/>
                <w:bCs/>
                <w:color w:val="auto"/>
                <w:sz w:val="21"/>
                <w:szCs w:val="21"/>
              </w:rPr>
              <w:t>三线一单</w:t>
            </w:r>
            <w:r>
              <w:rPr>
                <w:rFonts w:hint="eastAsia" w:cs="Times New Roman"/>
                <w:b/>
                <w:bCs/>
                <w:color w:val="auto"/>
                <w:sz w:val="21"/>
                <w:szCs w:val="21"/>
                <w:lang w:eastAsia="zh-CN"/>
              </w:rPr>
              <w:t>”</w:t>
            </w:r>
            <w:r>
              <w:rPr>
                <w:rFonts w:hint="default" w:ascii="Times New Roman" w:hAnsi="Times New Roman" w:eastAsia="宋体" w:cs="Times New Roman"/>
                <w:b/>
                <w:bCs/>
                <w:color w:val="auto"/>
                <w:sz w:val="21"/>
                <w:szCs w:val="21"/>
              </w:rPr>
              <w:t>符合性分析表</w:t>
            </w:r>
          </w:p>
          <w:tbl>
            <w:tblPr>
              <w:tblStyle w:val="25"/>
              <w:tblW w:w="4996"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15"/>
              <w:gridCol w:w="4533"/>
              <w:gridCol w:w="2043"/>
              <w:gridCol w:w="705"/>
            </w:tblGrid>
            <w:tr w14:paraId="727811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3" w:type="pct"/>
                  <w:tcBorders>
                    <w:tl2br w:val="nil"/>
                    <w:tr2bl w:val="nil"/>
                  </w:tcBorders>
                  <w:noWrap w:val="0"/>
                  <w:vAlign w:val="center"/>
                </w:tcPr>
                <w:p w14:paraId="23A50AE0">
                  <w:pPr>
                    <w:keepNext w:val="0"/>
                    <w:keepLines w:val="0"/>
                    <w:pageBreakBefore w:val="0"/>
                    <w:widowControl w:val="0"/>
                    <w:kinsoku/>
                    <w:wordWrap/>
                    <w:overflowPunct/>
                    <w:topLinePunct w:val="0"/>
                    <w:bidi w:val="0"/>
                    <w:adjustRightInd w:val="0"/>
                    <w:snapToGrid w:val="0"/>
                    <w:spacing w:beforeAutospacing="0" w:line="240" w:lineRule="auto"/>
                    <w:ind w:left="0" w:leftChars="0" w:right="0" w:rightChars="0" w:firstLine="0" w:firstLineChars="0"/>
                    <w:jc w:val="center"/>
                    <w:rPr>
                      <w:rFonts w:hint="default" w:ascii="Times New Roman" w:hAnsi="Times New Roman" w:eastAsia="宋体" w:cs="Times New Roman"/>
                      <w:b/>
                      <w:bCs w:val="0"/>
                      <w:color w:val="auto"/>
                      <w:sz w:val="21"/>
                      <w:szCs w:val="21"/>
                      <w:lang w:eastAsia="zh-CN"/>
                    </w:rPr>
                  </w:pPr>
                  <w:r>
                    <w:rPr>
                      <w:rFonts w:hint="default" w:ascii="Times New Roman" w:hAnsi="Times New Roman" w:eastAsia="宋体" w:cs="Times New Roman"/>
                      <w:b/>
                      <w:bCs w:val="0"/>
                      <w:color w:val="auto"/>
                      <w:sz w:val="21"/>
                      <w:szCs w:val="21"/>
                      <w:lang w:eastAsia="zh-CN"/>
                    </w:rPr>
                    <w:t>“</w:t>
                  </w:r>
                  <w:r>
                    <w:rPr>
                      <w:rFonts w:hint="default" w:ascii="Times New Roman" w:hAnsi="Times New Roman" w:eastAsia="宋体" w:cs="Times New Roman"/>
                      <w:b/>
                      <w:bCs w:val="0"/>
                      <w:color w:val="auto"/>
                      <w:sz w:val="21"/>
                      <w:szCs w:val="21"/>
                    </w:rPr>
                    <w:t>三线一单</w:t>
                  </w:r>
                  <w:r>
                    <w:rPr>
                      <w:rFonts w:hint="default" w:ascii="Times New Roman" w:hAnsi="Times New Roman" w:eastAsia="宋体" w:cs="Times New Roman"/>
                      <w:b/>
                      <w:bCs w:val="0"/>
                      <w:color w:val="auto"/>
                      <w:sz w:val="21"/>
                      <w:szCs w:val="21"/>
                      <w:lang w:eastAsia="zh-CN"/>
                    </w:rPr>
                    <w:t>”</w:t>
                  </w:r>
                </w:p>
              </w:tc>
              <w:tc>
                <w:tcPr>
                  <w:tcW w:w="2799" w:type="pct"/>
                  <w:tcBorders>
                    <w:tl2br w:val="nil"/>
                    <w:tr2bl w:val="nil"/>
                  </w:tcBorders>
                  <w:noWrap w:val="0"/>
                  <w:vAlign w:val="center"/>
                </w:tcPr>
                <w:p w14:paraId="6F31504A">
                  <w:pPr>
                    <w:pStyle w:val="64"/>
                    <w:keepNext w:val="0"/>
                    <w:keepLines w:val="0"/>
                    <w:pageBreakBefore w:val="0"/>
                    <w:widowControl w:val="0"/>
                    <w:kinsoku/>
                    <w:wordWrap/>
                    <w:overflowPunct/>
                    <w:topLinePunct w:val="0"/>
                    <w:bidi w:val="0"/>
                    <w:adjustRightInd w:val="0"/>
                    <w:snapToGrid w:val="0"/>
                    <w:spacing w:before="0" w:beforeAutospacing="0" w:line="240" w:lineRule="auto"/>
                    <w:ind w:left="0" w:leftChars="0" w:right="0" w:rightChars="0" w:firstLine="0" w:firstLineChars="0"/>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相关要求</w:t>
                  </w:r>
                </w:p>
              </w:tc>
              <w:tc>
                <w:tcPr>
                  <w:tcW w:w="1261" w:type="pct"/>
                  <w:tcBorders>
                    <w:tl2br w:val="nil"/>
                    <w:tr2bl w:val="nil"/>
                  </w:tcBorders>
                  <w:noWrap w:val="0"/>
                  <w:vAlign w:val="center"/>
                </w:tcPr>
                <w:p w14:paraId="0CEAD035">
                  <w:pPr>
                    <w:keepNext w:val="0"/>
                    <w:keepLines w:val="0"/>
                    <w:pageBreakBefore w:val="0"/>
                    <w:widowControl w:val="0"/>
                    <w:kinsoku/>
                    <w:wordWrap/>
                    <w:overflowPunct/>
                    <w:topLinePunct w:val="0"/>
                    <w:bidi w:val="0"/>
                    <w:adjustRightInd w:val="0"/>
                    <w:snapToGrid w:val="0"/>
                    <w:spacing w:beforeAutospacing="0" w:line="240" w:lineRule="auto"/>
                    <w:ind w:left="0" w:leftChars="0" w:right="0" w:rightChars="0"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本项目情况</w:t>
                  </w:r>
                </w:p>
              </w:tc>
              <w:tc>
                <w:tcPr>
                  <w:tcW w:w="435" w:type="pct"/>
                  <w:tcBorders>
                    <w:tl2br w:val="nil"/>
                    <w:tr2bl w:val="nil"/>
                  </w:tcBorders>
                  <w:noWrap w:val="0"/>
                  <w:vAlign w:val="center"/>
                </w:tcPr>
                <w:p w14:paraId="59DA3942">
                  <w:pPr>
                    <w:keepNext w:val="0"/>
                    <w:keepLines w:val="0"/>
                    <w:pageBreakBefore w:val="0"/>
                    <w:widowControl w:val="0"/>
                    <w:kinsoku/>
                    <w:wordWrap/>
                    <w:overflowPunct/>
                    <w:topLinePunct w:val="0"/>
                    <w:bidi w:val="0"/>
                    <w:adjustRightInd w:val="0"/>
                    <w:snapToGrid w:val="0"/>
                    <w:spacing w:beforeAutospacing="0" w:line="240" w:lineRule="auto"/>
                    <w:ind w:left="0" w:leftChars="0" w:right="0" w:rightChars="0"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判定</w:t>
                  </w:r>
                </w:p>
                <w:p w14:paraId="0BEE3DAD">
                  <w:pPr>
                    <w:keepNext w:val="0"/>
                    <w:keepLines w:val="0"/>
                    <w:pageBreakBefore w:val="0"/>
                    <w:widowControl w:val="0"/>
                    <w:kinsoku/>
                    <w:wordWrap/>
                    <w:overflowPunct/>
                    <w:topLinePunct w:val="0"/>
                    <w:bidi w:val="0"/>
                    <w:adjustRightInd w:val="0"/>
                    <w:snapToGrid w:val="0"/>
                    <w:spacing w:beforeAutospacing="0" w:line="240" w:lineRule="auto"/>
                    <w:ind w:left="0" w:leftChars="0" w:right="0" w:rightChars="0"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结论</w:t>
                  </w:r>
                </w:p>
              </w:tc>
            </w:tr>
            <w:tr w14:paraId="753F9F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41" w:hRule="atLeast"/>
                <w:jc w:val="center"/>
              </w:trPr>
              <w:tc>
                <w:tcPr>
                  <w:tcW w:w="503" w:type="pct"/>
                  <w:tcBorders>
                    <w:tl2br w:val="nil"/>
                    <w:tr2bl w:val="nil"/>
                  </w:tcBorders>
                  <w:noWrap w:val="0"/>
                  <w:vAlign w:val="center"/>
                </w:tcPr>
                <w:p w14:paraId="74B6A730">
                  <w:pPr>
                    <w:keepNext w:val="0"/>
                    <w:keepLines w:val="0"/>
                    <w:pageBreakBefore w:val="0"/>
                    <w:widowControl w:val="0"/>
                    <w:kinsoku/>
                    <w:wordWrap/>
                    <w:overflowPunct/>
                    <w:topLinePunct w:val="0"/>
                    <w:bidi w:val="0"/>
                    <w:adjustRightInd w:val="0"/>
                    <w:snapToGrid w:val="0"/>
                    <w:spacing w:beforeAutospacing="0" w:line="240" w:lineRule="auto"/>
                    <w:ind w:left="0" w:leftChars="0" w:right="0" w:rightChars="0" w:firstLine="0" w:firstLineChars="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Cs/>
                      <w:color w:val="auto"/>
                      <w:sz w:val="21"/>
                      <w:szCs w:val="21"/>
                    </w:rPr>
                    <w:t>生态保护红线</w:t>
                  </w:r>
                </w:p>
              </w:tc>
              <w:tc>
                <w:tcPr>
                  <w:tcW w:w="2799" w:type="pct"/>
                  <w:tcBorders>
                    <w:tl2br w:val="nil"/>
                    <w:tr2bl w:val="nil"/>
                  </w:tcBorders>
                  <w:noWrap w:val="0"/>
                  <w:vAlign w:val="center"/>
                </w:tcPr>
                <w:p w14:paraId="004931BC">
                  <w:pPr>
                    <w:pStyle w:val="65"/>
                    <w:keepNext w:val="0"/>
                    <w:keepLines w:val="0"/>
                    <w:pageBreakBefore w:val="0"/>
                    <w:widowControl w:val="0"/>
                    <w:kinsoku/>
                    <w:wordWrap/>
                    <w:overflowPunct/>
                    <w:topLinePunct w:val="0"/>
                    <w:bidi w:val="0"/>
                    <w:adjustRightInd w:val="0"/>
                    <w:snapToGrid w:val="0"/>
                    <w:spacing w:before="0" w:beforeAutospacing="0" w:after="0" w:line="240" w:lineRule="auto"/>
                    <w:ind w:left="0" w:leftChars="0" w:right="0" w:rightChars="0" w:firstLine="0" w:firstLineChars="0"/>
                    <w:jc w:val="left"/>
                    <w:textAlignment w:val="bottom"/>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生态保护红线是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重点管控单元应优化空间布局和产业布局，结合生态环境质量达标情况以及经济社会发展水平等，按照差别化的生态环境准入要求，加强污染物排放控制和环境风险防控，不断提升资源利用效率，稳步改善生态环境质量。</w:t>
                  </w:r>
                </w:p>
              </w:tc>
              <w:tc>
                <w:tcPr>
                  <w:tcW w:w="1261" w:type="pct"/>
                  <w:tcBorders>
                    <w:tl2br w:val="nil"/>
                    <w:tr2bl w:val="nil"/>
                  </w:tcBorders>
                  <w:noWrap w:val="0"/>
                  <w:vAlign w:val="center"/>
                </w:tcPr>
                <w:p w14:paraId="0F39BBC9">
                  <w:pPr>
                    <w:keepNext w:val="0"/>
                    <w:keepLines w:val="0"/>
                    <w:pageBreakBefore w:val="0"/>
                    <w:widowControl w:val="0"/>
                    <w:kinsoku/>
                    <w:wordWrap/>
                    <w:overflowPunct/>
                    <w:topLinePunct w:val="0"/>
                    <w:bidi w:val="0"/>
                    <w:adjustRightInd w:val="0"/>
                    <w:snapToGrid w:val="0"/>
                    <w:spacing w:beforeAutospacing="0" w:line="240" w:lineRule="auto"/>
                    <w:ind w:left="0" w:leftChars="0" w:right="0" w:rightChars="0" w:firstLine="0" w:firstLineChars="0"/>
                    <w:rPr>
                      <w:rFonts w:hint="default" w:ascii="Times New Roman" w:hAnsi="Times New Roman" w:eastAsia="宋体" w:cs="Times New Roman"/>
                      <w:b/>
                      <w:color w:val="auto"/>
                      <w:sz w:val="21"/>
                      <w:szCs w:val="21"/>
                    </w:rPr>
                  </w:pPr>
                  <w:r>
                    <w:rPr>
                      <w:rFonts w:hint="default" w:ascii="Times New Roman" w:hAnsi="Times New Roman" w:eastAsia="宋体" w:cs="Times New Roman"/>
                      <w:color w:val="auto"/>
                      <w:kern w:val="0"/>
                      <w:sz w:val="21"/>
                      <w:szCs w:val="21"/>
                      <w:lang w:val="en-GB" w:eastAsia="zh-CN" w:bidi="ar-SA"/>
                    </w:rPr>
                    <w:t>本</w:t>
                  </w:r>
                  <w:r>
                    <w:rPr>
                      <w:rFonts w:hint="default" w:ascii="Times New Roman" w:hAnsi="Times New Roman" w:eastAsia="宋体" w:cs="Times New Roman"/>
                      <w:color w:val="auto"/>
                      <w:kern w:val="0"/>
                      <w:sz w:val="21"/>
                      <w:szCs w:val="21"/>
                      <w:lang w:val="en-GB" w:eastAsia="zh-TW" w:bidi="ar-SA"/>
                    </w:rPr>
                    <w:t>项目</w:t>
                  </w:r>
                  <w:r>
                    <w:rPr>
                      <w:rFonts w:hint="eastAsia" w:cs="Times New Roman"/>
                      <w:color w:val="auto"/>
                      <w:kern w:val="0"/>
                      <w:sz w:val="21"/>
                      <w:szCs w:val="21"/>
                      <w:lang w:val="en-GB" w:eastAsia="zh-CN" w:bidi="ar-SA"/>
                    </w:rPr>
                    <w:t>厂房</w:t>
                  </w:r>
                  <w:r>
                    <w:rPr>
                      <w:rFonts w:hint="default" w:ascii="Times New Roman" w:hAnsi="Times New Roman" w:eastAsia="宋体" w:cs="Times New Roman"/>
                      <w:color w:val="auto"/>
                      <w:kern w:val="0"/>
                      <w:sz w:val="21"/>
                      <w:szCs w:val="21"/>
                      <w:lang w:val="en-GB" w:eastAsia="zh-TW" w:bidi="ar-SA"/>
                    </w:rPr>
                    <w:t>位于陕西省汉中市佛坪县袁家庄街道办塘湾路</w:t>
                  </w:r>
                  <w:r>
                    <w:rPr>
                      <w:rFonts w:hint="eastAsia" w:cs="Times New Roman"/>
                      <w:color w:val="auto"/>
                      <w:kern w:val="0"/>
                      <w:sz w:val="21"/>
                      <w:szCs w:val="21"/>
                      <w:lang w:val="en-US" w:eastAsia="zh-CN" w:bidi="ar-SA"/>
                    </w:rPr>
                    <w:t>38</w:t>
                  </w:r>
                  <w:r>
                    <w:rPr>
                      <w:rFonts w:hint="default" w:ascii="Times New Roman" w:hAnsi="Times New Roman" w:eastAsia="宋体" w:cs="Times New Roman"/>
                      <w:color w:val="auto"/>
                      <w:kern w:val="0"/>
                      <w:sz w:val="21"/>
                      <w:szCs w:val="21"/>
                      <w:lang w:val="en-GB" w:eastAsia="zh-TW" w:bidi="ar-SA"/>
                    </w:rPr>
                    <w:t>号，位于</w:t>
                  </w:r>
                  <w:r>
                    <w:rPr>
                      <w:rFonts w:hint="eastAsia" w:cs="Times New Roman"/>
                      <w:color w:val="auto"/>
                      <w:kern w:val="0"/>
                      <w:sz w:val="21"/>
                      <w:szCs w:val="21"/>
                      <w:lang w:val="en-GB" w:eastAsia="zh-CN" w:bidi="ar-SA"/>
                    </w:rPr>
                    <w:t>优先保护单元</w:t>
                  </w:r>
                  <w:r>
                    <w:rPr>
                      <w:rFonts w:hint="default" w:ascii="Times New Roman" w:hAnsi="Times New Roman" w:eastAsia="宋体" w:cs="Times New Roman"/>
                      <w:color w:val="auto"/>
                      <w:kern w:val="0"/>
                      <w:sz w:val="21"/>
                      <w:szCs w:val="21"/>
                      <w:lang w:val="en-GB" w:eastAsia="zh-TW" w:bidi="ar-SA"/>
                    </w:rPr>
                    <w:t>范围内（见图</w:t>
                  </w:r>
                  <w:r>
                    <w:rPr>
                      <w:rFonts w:hint="default" w:ascii="Times New Roman" w:hAnsi="Times New Roman" w:eastAsia="宋体" w:cs="Times New Roman"/>
                      <w:color w:val="auto"/>
                      <w:kern w:val="0"/>
                      <w:sz w:val="21"/>
                      <w:szCs w:val="21"/>
                      <w:lang w:val="en-US" w:eastAsia="zh-CN" w:bidi="ar-SA"/>
                    </w:rPr>
                    <w:t>1-1</w:t>
                  </w:r>
                  <w:r>
                    <w:rPr>
                      <w:rFonts w:hint="default" w:ascii="Times New Roman" w:hAnsi="Times New Roman" w:eastAsia="宋体" w:cs="Times New Roman"/>
                      <w:color w:val="auto"/>
                      <w:kern w:val="0"/>
                      <w:sz w:val="21"/>
                      <w:szCs w:val="21"/>
                      <w:lang w:val="en-GB" w:eastAsia="zh-TW" w:bidi="ar-SA"/>
                    </w:rPr>
                    <w:t>）</w:t>
                  </w:r>
                  <w:r>
                    <w:rPr>
                      <w:rFonts w:hint="default" w:ascii="Times New Roman" w:hAnsi="Times New Roman" w:eastAsia="宋体" w:cs="Times New Roman"/>
                      <w:color w:val="auto"/>
                      <w:kern w:val="0"/>
                      <w:sz w:val="21"/>
                      <w:szCs w:val="21"/>
                      <w:lang w:val="en-GB" w:eastAsia="zh-CN" w:bidi="ar-SA"/>
                    </w:rPr>
                    <w:t>，不涉及《陕西省生态保护红线规定方案》规定的生态红线区域</w:t>
                  </w:r>
                  <w:r>
                    <w:rPr>
                      <w:rFonts w:hint="default" w:ascii="Times New Roman" w:hAnsi="Times New Roman" w:eastAsia="宋体" w:cs="Times New Roman"/>
                      <w:color w:val="auto"/>
                      <w:kern w:val="0"/>
                      <w:sz w:val="21"/>
                      <w:szCs w:val="21"/>
                      <w:lang w:val="en-GB" w:eastAsia="zh-TW" w:bidi="ar-SA"/>
                    </w:rPr>
                    <w:t>。</w:t>
                  </w:r>
                </w:p>
              </w:tc>
              <w:tc>
                <w:tcPr>
                  <w:tcW w:w="435" w:type="pct"/>
                  <w:tcBorders>
                    <w:tl2br w:val="nil"/>
                    <w:tr2bl w:val="nil"/>
                  </w:tcBorders>
                  <w:noWrap w:val="0"/>
                  <w:vAlign w:val="center"/>
                </w:tcPr>
                <w:p w14:paraId="4B1991B1">
                  <w:pPr>
                    <w:keepNext w:val="0"/>
                    <w:keepLines w:val="0"/>
                    <w:pageBreakBefore w:val="0"/>
                    <w:widowControl w:val="0"/>
                    <w:kinsoku/>
                    <w:wordWrap/>
                    <w:overflowPunct/>
                    <w:topLinePunct w:val="0"/>
                    <w:bidi w:val="0"/>
                    <w:adjustRightInd w:val="0"/>
                    <w:snapToGrid w:val="0"/>
                    <w:spacing w:beforeAutospacing="0" w:line="240" w:lineRule="auto"/>
                    <w:ind w:left="0" w:leftChars="0" w:right="0" w:rightChars="0"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符合</w:t>
                  </w:r>
                </w:p>
              </w:tc>
            </w:tr>
            <w:tr w14:paraId="7F2146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86" w:hRule="atLeast"/>
                <w:jc w:val="center"/>
              </w:trPr>
              <w:tc>
                <w:tcPr>
                  <w:tcW w:w="503" w:type="pct"/>
                  <w:tcBorders>
                    <w:tl2br w:val="nil"/>
                    <w:tr2bl w:val="nil"/>
                  </w:tcBorders>
                  <w:noWrap w:val="0"/>
                  <w:vAlign w:val="center"/>
                </w:tcPr>
                <w:p w14:paraId="4D1A0ADE">
                  <w:pPr>
                    <w:keepNext w:val="0"/>
                    <w:keepLines w:val="0"/>
                    <w:pageBreakBefore w:val="0"/>
                    <w:widowControl w:val="0"/>
                    <w:tabs>
                      <w:tab w:val="left" w:pos="3739"/>
                    </w:tabs>
                    <w:kinsoku/>
                    <w:wordWrap/>
                    <w:overflowPunct/>
                    <w:topLinePunct w:val="0"/>
                    <w:bidi w:val="0"/>
                    <w:adjustRightInd w:val="0"/>
                    <w:snapToGrid w:val="0"/>
                    <w:spacing w:beforeAutospacing="0" w:line="240" w:lineRule="auto"/>
                    <w:ind w:left="0" w:leftChars="0" w:right="0" w:righ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环境质量底线</w:t>
                  </w:r>
                </w:p>
              </w:tc>
              <w:tc>
                <w:tcPr>
                  <w:tcW w:w="2799" w:type="pct"/>
                  <w:tcBorders>
                    <w:tl2br w:val="nil"/>
                    <w:tr2bl w:val="nil"/>
                  </w:tcBorders>
                  <w:noWrap w:val="0"/>
                  <w:vAlign w:val="center"/>
                </w:tcPr>
                <w:p w14:paraId="077315DA">
                  <w:pPr>
                    <w:pStyle w:val="65"/>
                    <w:keepNext w:val="0"/>
                    <w:keepLines w:val="0"/>
                    <w:pageBreakBefore w:val="0"/>
                    <w:widowControl w:val="0"/>
                    <w:kinsoku/>
                    <w:wordWrap/>
                    <w:overflowPunct/>
                    <w:topLinePunct w:val="0"/>
                    <w:bidi w:val="0"/>
                    <w:adjustRightInd w:val="0"/>
                    <w:snapToGrid w:val="0"/>
                    <w:spacing w:before="0" w:beforeAutospacing="0" w:after="0" w:line="240" w:lineRule="auto"/>
                    <w:ind w:left="0" w:leftChars="0" w:right="0" w:rightChars="0" w:firstLine="0" w:firstLineChars="0"/>
                    <w:jc w:val="left"/>
                    <w:textAlignment w:val="bottom"/>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质量底线是国家和地方设置的大气、水和土壤环境质量目标，也是改善环境质量的基准线。有关规划环评应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p>
              </w:tc>
              <w:tc>
                <w:tcPr>
                  <w:tcW w:w="1261" w:type="pct"/>
                  <w:tcBorders>
                    <w:tl2br w:val="nil"/>
                    <w:tr2bl w:val="nil"/>
                  </w:tcBorders>
                  <w:noWrap w:val="0"/>
                  <w:vAlign w:val="center"/>
                </w:tcPr>
                <w:p w14:paraId="0E79ADFE">
                  <w:pPr>
                    <w:keepNext w:val="0"/>
                    <w:keepLines w:val="0"/>
                    <w:pageBreakBefore w:val="0"/>
                    <w:widowControl w:val="0"/>
                    <w:kinsoku/>
                    <w:wordWrap/>
                    <w:overflowPunct/>
                    <w:topLinePunct w:val="0"/>
                    <w:bidi w:val="0"/>
                    <w:adjustRightInd w:val="0"/>
                    <w:snapToGrid w:val="0"/>
                    <w:spacing w:beforeAutospacing="0" w:line="240" w:lineRule="auto"/>
                    <w:ind w:left="0" w:leftChars="0" w:right="0" w:rightChars="0" w:firstLine="0" w:firstLineChars="0"/>
                    <w:jc w:val="left"/>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eastAsia="zh-CN"/>
                    </w:rPr>
                    <w:t>本项目</w:t>
                  </w:r>
                  <w:r>
                    <w:rPr>
                      <w:rFonts w:hint="eastAsia" w:cs="Times New Roman"/>
                      <w:color w:val="auto"/>
                      <w:sz w:val="21"/>
                      <w:szCs w:val="21"/>
                      <w:highlight w:val="none"/>
                      <w:lang w:eastAsia="zh-CN"/>
                    </w:rPr>
                    <w:t>位于环境空气达标区，项目</w:t>
                  </w:r>
                  <w:r>
                    <w:rPr>
                      <w:color w:val="auto"/>
                      <w:sz w:val="21"/>
                      <w:szCs w:val="21"/>
                      <w:highlight w:val="none"/>
                    </w:rPr>
                    <w:t>环保设施配备完善，</w:t>
                  </w:r>
                  <w:r>
                    <w:rPr>
                      <w:rFonts w:hint="eastAsia" w:cs="Times New Roman"/>
                      <w:color w:val="auto"/>
                      <w:sz w:val="21"/>
                      <w:szCs w:val="21"/>
                      <w:highlight w:val="none"/>
                      <w:lang w:eastAsia="zh-CN"/>
                    </w:rPr>
                    <w:t>运营期废气、噪声均能达标排放</w:t>
                  </w:r>
                  <w:r>
                    <w:rPr>
                      <w:rFonts w:hint="eastAsia"/>
                      <w:color w:val="auto"/>
                      <w:sz w:val="21"/>
                      <w:szCs w:val="21"/>
                      <w:highlight w:val="none"/>
                      <w:lang w:eastAsia="zh-CN"/>
                    </w:rPr>
                    <w:t>，生产废水、固废可得到有效处置，不会对区域环境质量产生</w:t>
                  </w:r>
                  <w:r>
                    <w:rPr>
                      <w:rFonts w:hint="eastAsia"/>
                      <w:color w:val="auto"/>
                      <w:sz w:val="21"/>
                      <w:szCs w:val="21"/>
                      <w:lang w:eastAsia="zh-CN"/>
                    </w:rPr>
                    <w:t>明显影响，不触及环境质量底线。</w:t>
                  </w:r>
                </w:p>
              </w:tc>
              <w:tc>
                <w:tcPr>
                  <w:tcW w:w="435" w:type="pct"/>
                  <w:tcBorders>
                    <w:tl2br w:val="nil"/>
                    <w:tr2bl w:val="nil"/>
                  </w:tcBorders>
                  <w:noWrap w:val="0"/>
                  <w:vAlign w:val="center"/>
                </w:tcPr>
                <w:p w14:paraId="32B8748C">
                  <w:pPr>
                    <w:keepNext w:val="0"/>
                    <w:keepLines w:val="0"/>
                    <w:pageBreakBefore w:val="0"/>
                    <w:widowControl w:val="0"/>
                    <w:tabs>
                      <w:tab w:val="left" w:pos="3739"/>
                    </w:tabs>
                    <w:kinsoku/>
                    <w:wordWrap/>
                    <w:overflowPunct/>
                    <w:topLinePunct w:val="0"/>
                    <w:bidi w:val="0"/>
                    <w:adjustRightInd w:val="0"/>
                    <w:snapToGrid w:val="0"/>
                    <w:spacing w:beforeAutospacing="0" w:line="240" w:lineRule="auto"/>
                    <w:ind w:left="0" w:leftChars="0" w:right="0" w:righ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符合</w:t>
                  </w:r>
                </w:p>
              </w:tc>
            </w:tr>
            <w:tr w14:paraId="1F5257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84" w:hRule="atLeast"/>
                <w:jc w:val="center"/>
              </w:trPr>
              <w:tc>
                <w:tcPr>
                  <w:tcW w:w="503" w:type="pct"/>
                  <w:tcBorders>
                    <w:tl2br w:val="nil"/>
                    <w:tr2bl w:val="nil"/>
                  </w:tcBorders>
                  <w:noWrap w:val="0"/>
                  <w:vAlign w:val="center"/>
                </w:tcPr>
                <w:p w14:paraId="724BC8FC">
                  <w:pPr>
                    <w:keepNext w:val="0"/>
                    <w:keepLines w:val="0"/>
                    <w:pageBreakBefore w:val="0"/>
                    <w:widowControl w:val="0"/>
                    <w:kinsoku/>
                    <w:wordWrap/>
                    <w:overflowPunct/>
                    <w:topLinePunct w:val="0"/>
                    <w:bidi w:val="0"/>
                    <w:adjustRightInd w:val="0"/>
                    <w:snapToGrid w:val="0"/>
                    <w:spacing w:before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资源利用上线</w:t>
                  </w:r>
                </w:p>
              </w:tc>
              <w:tc>
                <w:tcPr>
                  <w:tcW w:w="2799" w:type="pct"/>
                  <w:tcBorders>
                    <w:tl2br w:val="nil"/>
                    <w:tr2bl w:val="nil"/>
                  </w:tcBorders>
                  <w:noWrap w:val="0"/>
                  <w:vAlign w:val="center"/>
                </w:tcPr>
                <w:p w14:paraId="4455AD3C">
                  <w:pPr>
                    <w:pStyle w:val="65"/>
                    <w:keepNext w:val="0"/>
                    <w:keepLines w:val="0"/>
                    <w:pageBreakBefore w:val="0"/>
                    <w:widowControl w:val="0"/>
                    <w:kinsoku/>
                    <w:wordWrap/>
                    <w:overflowPunct/>
                    <w:topLinePunct w:val="0"/>
                    <w:bidi w:val="0"/>
                    <w:adjustRightInd w:val="0"/>
                    <w:snapToGrid w:val="0"/>
                    <w:spacing w:before="0" w:beforeAutospacing="0" w:after="0" w:line="240" w:lineRule="auto"/>
                    <w:ind w:left="0" w:leftChars="0" w:right="0" w:rightChars="0" w:firstLine="0" w:firstLineChars="0"/>
                    <w:jc w:val="left"/>
                    <w:textAlignment w:val="bottom"/>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资源利用上线是各地区能源、水、土地等资源消耗不得突破的</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天花板</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tc>
              <w:tc>
                <w:tcPr>
                  <w:tcW w:w="1261" w:type="pct"/>
                  <w:tcBorders>
                    <w:tl2br w:val="nil"/>
                    <w:tr2bl w:val="nil"/>
                  </w:tcBorders>
                  <w:noWrap w:val="0"/>
                  <w:vAlign w:val="center"/>
                </w:tcPr>
                <w:p w14:paraId="636722FC">
                  <w:pPr>
                    <w:pStyle w:val="65"/>
                    <w:keepNext w:val="0"/>
                    <w:keepLines w:val="0"/>
                    <w:pageBreakBefore w:val="0"/>
                    <w:widowControl w:val="0"/>
                    <w:kinsoku/>
                    <w:wordWrap/>
                    <w:overflowPunct/>
                    <w:topLinePunct w:val="0"/>
                    <w:bidi w:val="0"/>
                    <w:adjustRightInd w:val="0"/>
                    <w:snapToGrid w:val="0"/>
                    <w:spacing w:before="0" w:beforeAutospacing="0" w:after="0" w:line="240" w:lineRule="auto"/>
                    <w:ind w:left="0" w:leftChars="0" w:right="0" w:rightChars="0" w:firstLine="0" w:firstLineChars="0"/>
                    <w:jc w:val="left"/>
                    <w:textAlignment w:val="bottom"/>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本</w:t>
                  </w:r>
                  <w:r>
                    <w:rPr>
                      <w:rFonts w:hint="default" w:ascii="Times New Roman" w:hAnsi="Times New Roman" w:eastAsia="宋体" w:cs="Times New Roman"/>
                      <w:color w:val="auto"/>
                      <w:sz w:val="21"/>
                      <w:szCs w:val="21"/>
                    </w:rPr>
                    <w:t>项目主要原料外购，</w:t>
                  </w:r>
                  <w:r>
                    <w:rPr>
                      <w:rFonts w:hint="eastAsia" w:cs="Times New Roman"/>
                      <w:color w:val="auto"/>
                      <w:sz w:val="21"/>
                      <w:szCs w:val="21"/>
                      <w:lang w:eastAsia="zh-CN"/>
                    </w:rPr>
                    <w:t>生产过程中由</w:t>
                  </w:r>
                  <w:r>
                    <w:rPr>
                      <w:rFonts w:hint="default" w:ascii="Times New Roman" w:hAnsi="Times New Roman" w:eastAsia="宋体" w:cs="Times New Roman"/>
                      <w:color w:val="auto"/>
                      <w:sz w:val="21"/>
                      <w:szCs w:val="21"/>
                      <w:lang w:eastAsia="zh-CN"/>
                    </w:rPr>
                    <w:t>市政供水、供电，</w:t>
                  </w:r>
                  <w:r>
                    <w:rPr>
                      <w:rFonts w:hint="default" w:ascii="Times New Roman" w:hAnsi="Times New Roman" w:eastAsia="宋体" w:cs="Times New Roman"/>
                      <w:color w:val="auto"/>
                      <w:sz w:val="21"/>
                      <w:szCs w:val="21"/>
                    </w:rPr>
                    <w:t>不涉及新开采资源，</w:t>
                  </w:r>
                  <w:r>
                    <w:rPr>
                      <w:rFonts w:hint="eastAsia" w:ascii="Times New Roman" w:hAnsi="Times New Roman" w:eastAsia="宋体" w:cs="Times New Roman"/>
                      <w:color w:val="auto"/>
                      <w:sz w:val="21"/>
                      <w:szCs w:val="21"/>
                      <w:lang w:eastAsia="zh-CN"/>
                    </w:rPr>
                    <w:t>项目</w:t>
                  </w:r>
                  <w:r>
                    <w:rPr>
                      <w:rFonts w:hint="default" w:ascii="Times New Roman" w:hAnsi="Times New Roman" w:eastAsia="宋体" w:cs="Times New Roman"/>
                      <w:color w:val="auto"/>
                      <w:sz w:val="21"/>
                      <w:szCs w:val="21"/>
                    </w:rPr>
                    <w:t>资源利用量相对区域资源利用总量占比较小，不触及资源利用上</w:t>
                  </w:r>
                  <w:r>
                    <w:rPr>
                      <w:rFonts w:hint="default" w:ascii="Times New Roman" w:hAnsi="Times New Roman" w:eastAsia="宋体" w:cs="Times New Roman"/>
                      <w:color w:val="auto"/>
                      <w:sz w:val="21"/>
                      <w:szCs w:val="21"/>
                      <w:lang w:eastAsia="zh-CN"/>
                    </w:rPr>
                    <w:t>线</w:t>
                  </w:r>
                  <w:r>
                    <w:rPr>
                      <w:rFonts w:hint="default" w:ascii="Times New Roman" w:hAnsi="Times New Roman" w:eastAsia="宋体" w:cs="Times New Roman"/>
                      <w:color w:val="auto"/>
                      <w:sz w:val="21"/>
                      <w:szCs w:val="21"/>
                    </w:rPr>
                    <w:t>。</w:t>
                  </w:r>
                </w:p>
              </w:tc>
              <w:tc>
                <w:tcPr>
                  <w:tcW w:w="435" w:type="pct"/>
                  <w:tcBorders>
                    <w:tl2br w:val="nil"/>
                    <w:tr2bl w:val="nil"/>
                  </w:tcBorders>
                  <w:noWrap w:val="0"/>
                  <w:vAlign w:val="center"/>
                </w:tcPr>
                <w:p w14:paraId="0208AD97">
                  <w:pPr>
                    <w:keepNext w:val="0"/>
                    <w:keepLines w:val="0"/>
                    <w:pageBreakBefore w:val="0"/>
                    <w:widowControl w:val="0"/>
                    <w:kinsoku/>
                    <w:wordWrap/>
                    <w:overflowPunct/>
                    <w:topLinePunct w:val="0"/>
                    <w:bidi w:val="0"/>
                    <w:adjustRightInd w:val="0"/>
                    <w:snapToGrid w:val="0"/>
                    <w:spacing w:beforeAutospacing="0" w:line="240" w:lineRule="auto"/>
                    <w:ind w:left="0" w:leftChars="0" w:right="0" w:righ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符合</w:t>
                  </w:r>
                </w:p>
              </w:tc>
            </w:tr>
            <w:tr w14:paraId="70235C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68" w:hRule="atLeast"/>
                <w:jc w:val="center"/>
              </w:trPr>
              <w:tc>
                <w:tcPr>
                  <w:tcW w:w="503" w:type="pct"/>
                  <w:tcBorders>
                    <w:tl2br w:val="nil"/>
                    <w:tr2bl w:val="nil"/>
                  </w:tcBorders>
                  <w:noWrap w:val="0"/>
                  <w:vAlign w:val="center"/>
                </w:tcPr>
                <w:p w14:paraId="7BB82DB7">
                  <w:pPr>
                    <w:keepNext w:val="0"/>
                    <w:keepLines w:val="0"/>
                    <w:pageBreakBefore w:val="0"/>
                    <w:widowControl w:val="0"/>
                    <w:kinsoku/>
                    <w:wordWrap/>
                    <w:overflowPunct/>
                    <w:topLinePunct w:val="0"/>
                    <w:bidi w:val="0"/>
                    <w:adjustRightInd w:val="0"/>
                    <w:snapToGrid w:val="0"/>
                    <w:spacing w:before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生态环境准入清单</w:t>
                  </w:r>
                </w:p>
              </w:tc>
              <w:tc>
                <w:tcPr>
                  <w:tcW w:w="2799" w:type="pct"/>
                  <w:tcBorders>
                    <w:tl2br w:val="nil"/>
                    <w:tr2bl w:val="nil"/>
                  </w:tcBorders>
                  <w:noWrap w:val="0"/>
                  <w:vAlign w:val="center"/>
                </w:tcPr>
                <w:p w14:paraId="558477C0">
                  <w:pPr>
                    <w:pStyle w:val="65"/>
                    <w:keepNext w:val="0"/>
                    <w:keepLines w:val="0"/>
                    <w:pageBreakBefore w:val="0"/>
                    <w:widowControl w:val="0"/>
                    <w:kinsoku/>
                    <w:wordWrap/>
                    <w:overflowPunct/>
                    <w:topLinePunct w:val="0"/>
                    <w:bidi w:val="0"/>
                    <w:adjustRightInd w:val="0"/>
                    <w:snapToGrid w:val="0"/>
                    <w:spacing w:before="0" w:beforeAutospacing="0" w:after="0" w:line="240" w:lineRule="auto"/>
                    <w:ind w:left="0" w:leftChars="0" w:right="0" w:rightChars="0" w:firstLine="0" w:firstLineChars="0"/>
                    <w:jc w:val="left"/>
                    <w:textAlignment w:val="bottom"/>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tc>
              <w:tc>
                <w:tcPr>
                  <w:tcW w:w="1261" w:type="pct"/>
                  <w:tcBorders>
                    <w:tl2br w:val="nil"/>
                    <w:tr2bl w:val="nil"/>
                  </w:tcBorders>
                  <w:noWrap w:val="0"/>
                  <w:vAlign w:val="center"/>
                </w:tcPr>
                <w:p w14:paraId="4D64B6B8">
                  <w:pPr>
                    <w:keepNext w:val="0"/>
                    <w:keepLines w:val="0"/>
                    <w:pageBreakBefore w:val="0"/>
                    <w:widowControl w:val="0"/>
                    <w:kinsoku/>
                    <w:wordWrap/>
                    <w:overflowPunct/>
                    <w:topLinePunct w:val="0"/>
                    <w:bidi w:val="0"/>
                    <w:adjustRightInd w:val="0"/>
                    <w:snapToGrid w:val="0"/>
                    <w:spacing w:beforeAutospacing="0" w:line="240" w:lineRule="auto"/>
                    <w:ind w:left="0" w:leftChars="0" w:right="0" w:rightChars="0" w:firstLine="0" w:firstLineChars="0"/>
                    <w:jc w:val="left"/>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sz w:val="21"/>
                      <w:szCs w:val="21"/>
                    </w:rPr>
                    <w:t>本项目不属于《陕西省国家重点生态功能区产业准入负面清单（试行）》（陕发改规划〔2018〕213号）中所列的限制类及禁止类项目</w:t>
                  </w:r>
                  <w:r>
                    <w:rPr>
                      <w:rFonts w:hint="default" w:ascii="Times New Roman" w:hAnsi="Times New Roman" w:eastAsia="宋体" w:cs="Times New Roman"/>
                      <w:bCs/>
                      <w:color w:val="auto"/>
                      <w:kern w:val="0"/>
                      <w:sz w:val="21"/>
                      <w:szCs w:val="21"/>
                      <w:highlight w:val="none"/>
                      <w:lang w:eastAsia="zh-CN"/>
                    </w:rPr>
                    <w:t>，</w:t>
                  </w:r>
                  <w:r>
                    <w:rPr>
                      <w:rFonts w:hint="eastAsia" w:cs="Times New Roman"/>
                      <w:bCs/>
                      <w:color w:val="auto"/>
                      <w:kern w:val="0"/>
                      <w:sz w:val="21"/>
                      <w:szCs w:val="21"/>
                      <w:highlight w:val="none"/>
                      <w:lang w:eastAsia="zh-CN"/>
                    </w:rPr>
                    <w:t>符合</w:t>
                  </w:r>
                  <w:r>
                    <w:rPr>
                      <w:rFonts w:hint="default" w:ascii="Times New Roman" w:hAnsi="Times New Roman" w:eastAsia="宋体" w:cs="Times New Roman"/>
                      <w:bCs/>
                      <w:color w:val="auto"/>
                      <w:kern w:val="0"/>
                      <w:sz w:val="21"/>
                      <w:szCs w:val="21"/>
                      <w:highlight w:val="none"/>
                      <w:lang w:eastAsia="zh-CN"/>
                    </w:rPr>
                    <w:t>生态环境准入清单要求。</w:t>
                  </w:r>
                </w:p>
              </w:tc>
              <w:tc>
                <w:tcPr>
                  <w:tcW w:w="435" w:type="pct"/>
                  <w:tcBorders>
                    <w:tl2br w:val="nil"/>
                    <w:tr2bl w:val="nil"/>
                  </w:tcBorders>
                  <w:noWrap w:val="0"/>
                  <w:vAlign w:val="center"/>
                </w:tcPr>
                <w:p w14:paraId="54611B09">
                  <w:pPr>
                    <w:keepNext w:val="0"/>
                    <w:keepLines w:val="0"/>
                    <w:pageBreakBefore w:val="0"/>
                    <w:widowControl w:val="0"/>
                    <w:kinsoku/>
                    <w:wordWrap/>
                    <w:overflowPunct/>
                    <w:topLinePunct w:val="0"/>
                    <w:bidi w:val="0"/>
                    <w:adjustRightInd w:val="0"/>
                    <w:snapToGrid w:val="0"/>
                    <w:spacing w:beforeAutospacing="0" w:line="240" w:lineRule="auto"/>
                    <w:ind w:left="0" w:leftChars="0" w:right="0" w:righ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符合</w:t>
                  </w:r>
                </w:p>
              </w:tc>
            </w:tr>
          </w:tbl>
          <w:p w14:paraId="0C6EC1A7">
            <w:pPr>
              <w:keepNext w:val="0"/>
              <w:keepLines w:val="0"/>
              <w:pageBreakBefore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1.3.2生态环境管控分区对照</w:t>
            </w:r>
            <w:r>
              <w:rPr>
                <w:rFonts w:hint="default" w:ascii="Times New Roman" w:hAnsi="Times New Roman" w:eastAsia="宋体" w:cs="Times New Roman"/>
                <w:b/>
                <w:bCs/>
                <w:color w:val="auto"/>
                <w:sz w:val="24"/>
                <w:szCs w:val="24"/>
                <w:highlight w:val="none"/>
                <w:lang w:val="en-US" w:eastAsia="zh-CN"/>
              </w:rPr>
              <w:t>分析</w:t>
            </w:r>
          </w:p>
          <w:p w14:paraId="46B5AF3E">
            <w:pPr>
              <w:spacing w:line="360" w:lineRule="auto"/>
              <w:ind w:firstLine="480" w:firstLineChars="200"/>
              <w:contextualSpacing/>
              <w:rPr>
                <w:color w:val="auto"/>
                <w:kern w:val="0"/>
                <w:sz w:val="24"/>
              </w:rPr>
            </w:pPr>
            <w:r>
              <w:rPr>
                <w:color w:val="auto"/>
                <w:kern w:val="0"/>
                <w:sz w:val="24"/>
              </w:rPr>
              <w:t>根据《</w:t>
            </w:r>
            <w:r>
              <w:rPr>
                <w:rFonts w:hint="eastAsia"/>
                <w:color w:val="auto"/>
                <w:kern w:val="0"/>
                <w:sz w:val="24"/>
                <w:lang w:eastAsia="zh-CN"/>
              </w:rPr>
              <w:t>陕西省区域空间生态环境评价工作协调小组办公室关于印发</w:t>
            </w:r>
            <w:r>
              <w:rPr>
                <w:rFonts w:hint="eastAsia"/>
                <w:color w:val="auto"/>
                <w:kern w:val="0"/>
                <w:sz w:val="24"/>
                <w:lang w:val="en-US" w:eastAsia="zh-CN"/>
              </w:rPr>
              <w:t>&lt;2023年陕西省生态环境分区管控成果动态更新实施方案&gt;的通知</w:t>
            </w:r>
            <w:r>
              <w:rPr>
                <w:color w:val="auto"/>
                <w:kern w:val="0"/>
                <w:sz w:val="24"/>
              </w:rPr>
              <w:t>》（陕</w:t>
            </w:r>
            <w:r>
              <w:rPr>
                <w:rFonts w:hint="eastAsia"/>
                <w:color w:val="auto"/>
                <w:kern w:val="0"/>
                <w:sz w:val="24"/>
                <w:lang w:eastAsia="zh-CN"/>
              </w:rPr>
              <w:t>区环</w:t>
            </w:r>
            <w:r>
              <w:rPr>
                <w:color w:val="auto"/>
                <w:kern w:val="0"/>
                <w:sz w:val="24"/>
              </w:rPr>
              <w:t>办〔202</w:t>
            </w:r>
            <w:r>
              <w:rPr>
                <w:rFonts w:hint="eastAsia"/>
                <w:color w:val="auto"/>
                <w:kern w:val="0"/>
                <w:sz w:val="24"/>
                <w:lang w:val="en-US" w:eastAsia="zh-CN"/>
              </w:rPr>
              <w:t>3</w:t>
            </w:r>
            <w:r>
              <w:rPr>
                <w:color w:val="auto"/>
                <w:kern w:val="0"/>
                <w:sz w:val="24"/>
              </w:rPr>
              <w:t>〕</w:t>
            </w:r>
            <w:r>
              <w:rPr>
                <w:rFonts w:hint="eastAsia"/>
                <w:color w:val="auto"/>
                <w:kern w:val="0"/>
                <w:sz w:val="24"/>
                <w:lang w:val="en-US" w:eastAsia="zh-CN"/>
              </w:rPr>
              <w:t>2</w:t>
            </w:r>
            <w:r>
              <w:rPr>
                <w:color w:val="auto"/>
                <w:kern w:val="0"/>
                <w:sz w:val="24"/>
              </w:rPr>
              <w:t>号）和</w:t>
            </w:r>
            <w:r>
              <w:rPr>
                <w:rFonts w:hint="eastAsia"/>
                <w:color w:val="auto"/>
                <w:kern w:val="0"/>
                <w:sz w:val="24"/>
                <w:lang w:eastAsia="zh-CN"/>
              </w:rPr>
              <w:t>汉中市人民政府办公室</w:t>
            </w:r>
            <w:r>
              <w:rPr>
                <w:color w:val="auto"/>
                <w:kern w:val="0"/>
                <w:sz w:val="24"/>
              </w:rPr>
              <w:t>《关于印发</w:t>
            </w:r>
            <w:r>
              <w:rPr>
                <w:rFonts w:hint="eastAsia"/>
                <w:color w:val="auto"/>
                <w:kern w:val="0"/>
                <w:sz w:val="24"/>
              </w:rPr>
              <w:t>“</w:t>
            </w:r>
            <w:r>
              <w:rPr>
                <w:color w:val="auto"/>
                <w:kern w:val="0"/>
                <w:sz w:val="24"/>
              </w:rPr>
              <w:t>2023年</w:t>
            </w:r>
            <w:r>
              <w:rPr>
                <w:rFonts w:hint="eastAsia"/>
                <w:color w:val="auto"/>
                <w:kern w:val="0"/>
                <w:sz w:val="24"/>
                <w:lang w:eastAsia="zh-CN"/>
              </w:rPr>
              <w:t>汉中</w:t>
            </w:r>
            <w:r>
              <w:rPr>
                <w:color w:val="auto"/>
                <w:kern w:val="0"/>
                <w:sz w:val="24"/>
              </w:rPr>
              <w:t>市生态环境分区管控调整方案</w:t>
            </w:r>
            <w:r>
              <w:rPr>
                <w:rFonts w:hint="eastAsia"/>
                <w:color w:val="auto"/>
                <w:kern w:val="0"/>
                <w:sz w:val="24"/>
              </w:rPr>
              <w:t>”</w:t>
            </w:r>
            <w:r>
              <w:rPr>
                <w:color w:val="auto"/>
                <w:kern w:val="0"/>
                <w:sz w:val="24"/>
              </w:rPr>
              <w:t>的通知》（</w:t>
            </w:r>
            <w:r>
              <w:rPr>
                <w:rFonts w:hint="eastAsia"/>
                <w:color w:val="auto"/>
                <w:kern w:val="0"/>
                <w:sz w:val="24"/>
                <w:lang w:eastAsia="zh-CN"/>
              </w:rPr>
              <w:t>汉政</w:t>
            </w:r>
            <w:r>
              <w:rPr>
                <w:color w:val="auto"/>
                <w:kern w:val="0"/>
                <w:sz w:val="24"/>
              </w:rPr>
              <w:t>办</w:t>
            </w:r>
            <w:r>
              <w:rPr>
                <w:rFonts w:hint="eastAsia"/>
                <w:color w:val="auto"/>
                <w:kern w:val="0"/>
                <w:sz w:val="24"/>
                <w:lang w:eastAsia="zh-CN"/>
              </w:rPr>
              <w:t>函</w:t>
            </w:r>
            <w:r>
              <w:rPr>
                <w:color w:val="auto"/>
                <w:kern w:val="0"/>
                <w:sz w:val="24"/>
              </w:rPr>
              <w:t>〔2024〕</w:t>
            </w:r>
            <w:r>
              <w:rPr>
                <w:rFonts w:hint="eastAsia"/>
                <w:color w:val="auto"/>
                <w:kern w:val="0"/>
                <w:sz w:val="24"/>
                <w:lang w:val="en-US" w:eastAsia="zh-CN"/>
              </w:rPr>
              <w:t>23</w:t>
            </w:r>
            <w:r>
              <w:rPr>
                <w:color w:val="auto"/>
                <w:kern w:val="0"/>
                <w:sz w:val="24"/>
              </w:rPr>
              <w:t>号），结合</w:t>
            </w:r>
            <w:r>
              <w:rPr>
                <w:rFonts w:hint="eastAsia"/>
                <w:color w:val="auto"/>
                <w:kern w:val="0"/>
                <w:sz w:val="24"/>
                <w:lang w:eastAsia="zh-CN"/>
              </w:rPr>
              <w:t>汉中</w:t>
            </w:r>
            <w:r>
              <w:rPr>
                <w:color w:val="auto"/>
                <w:kern w:val="0"/>
                <w:sz w:val="24"/>
              </w:rPr>
              <w:t>市环境管控单元分布示意图，对本项目的生态环境管控分区对照和生态环境准入清单符合性进行分析，具体如下：</w:t>
            </w:r>
          </w:p>
          <w:p w14:paraId="4518BA71">
            <w:pPr>
              <w:spacing w:line="360" w:lineRule="auto"/>
              <w:ind w:firstLine="482" w:firstLineChars="200"/>
              <w:contextualSpacing/>
              <w:rPr>
                <w:b/>
                <w:bCs/>
                <w:color w:val="auto"/>
                <w:kern w:val="0"/>
                <w:sz w:val="24"/>
              </w:rPr>
            </w:pPr>
            <w:r>
              <w:rPr>
                <w:rFonts w:hint="eastAsia"/>
                <w:b/>
                <w:bCs/>
                <w:color w:val="auto"/>
                <w:kern w:val="0"/>
                <w:sz w:val="24"/>
              </w:rPr>
              <w:t>（1）“</w:t>
            </w:r>
            <w:r>
              <w:rPr>
                <w:b/>
                <w:bCs/>
                <w:color w:val="auto"/>
                <w:kern w:val="0"/>
                <w:sz w:val="24"/>
              </w:rPr>
              <w:t>一图</w:t>
            </w:r>
            <w:r>
              <w:rPr>
                <w:rFonts w:hint="eastAsia"/>
                <w:b/>
                <w:bCs/>
                <w:color w:val="auto"/>
                <w:kern w:val="0"/>
                <w:sz w:val="24"/>
              </w:rPr>
              <w:t>”</w:t>
            </w:r>
          </w:p>
          <w:p w14:paraId="20C288B7">
            <w:pPr>
              <w:adjustRightInd w:val="0"/>
              <w:snapToGrid w:val="0"/>
              <w:spacing w:line="360" w:lineRule="auto"/>
              <w:ind w:firstLine="480" w:firstLineChars="200"/>
              <w:jc w:val="left"/>
              <w:rPr>
                <w:color w:val="auto"/>
                <w:sz w:val="24"/>
              </w:rPr>
            </w:pPr>
            <w:r>
              <w:rPr>
                <w:rFonts w:hint="eastAsia"/>
                <w:color w:val="auto"/>
                <w:sz w:val="24"/>
              </w:rPr>
              <w:t>本</w:t>
            </w:r>
            <w:r>
              <w:rPr>
                <w:color w:val="auto"/>
                <w:sz w:val="24"/>
              </w:rPr>
              <w:t>项目</w:t>
            </w:r>
            <w:r>
              <w:rPr>
                <w:rFonts w:hint="eastAsia"/>
                <w:color w:val="auto"/>
                <w:sz w:val="24"/>
                <w:lang w:eastAsia="zh-CN"/>
              </w:rPr>
              <w:t>厂房</w:t>
            </w:r>
            <w:r>
              <w:rPr>
                <w:color w:val="auto"/>
                <w:sz w:val="24"/>
              </w:rPr>
              <w:t>位于</w:t>
            </w:r>
            <w:r>
              <w:rPr>
                <w:rFonts w:hint="default"/>
                <w:color w:val="auto"/>
                <w:sz w:val="24"/>
                <w:lang w:val="en-GB" w:eastAsia="zh-TW"/>
              </w:rPr>
              <w:t>陕西省汉中市佛坪县袁家庄街道办塘湾路</w:t>
            </w:r>
            <w:r>
              <w:rPr>
                <w:rFonts w:hint="eastAsia"/>
                <w:color w:val="auto"/>
                <w:sz w:val="24"/>
                <w:lang w:val="en-US" w:eastAsia="zh-CN"/>
              </w:rPr>
              <w:t>38</w:t>
            </w:r>
            <w:r>
              <w:rPr>
                <w:rFonts w:hint="default"/>
                <w:color w:val="auto"/>
                <w:sz w:val="24"/>
                <w:lang w:val="en-GB" w:eastAsia="zh-TW"/>
              </w:rPr>
              <w:t>号</w:t>
            </w:r>
            <w:r>
              <w:rPr>
                <w:color w:val="auto"/>
                <w:sz w:val="24"/>
              </w:rPr>
              <w:t>，对照</w:t>
            </w:r>
            <w:r>
              <w:rPr>
                <w:rFonts w:hint="eastAsia"/>
                <w:color w:val="auto"/>
                <w:kern w:val="0"/>
                <w:sz w:val="24"/>
              </w:rPr>
              <w:t>《陕西省“三线一单”生态环境管控单元对照分析报告》</w:t>
            </w:r>
            <w:r>
              <w:rPr>
                <w:color w:val="auto"/>
                <w:sz w:val="24"/>
              </w:rPr>
              <w:t>，项目所在区域为</w:t>
            </w:r>
            <w:r>
              <w:rPr>
                <w:rFonts w:hint="eastAsia"/>
                <w:color w:val="auto"/>
                <w:sz w:val="24"/>
                <w:lang w:val="en-GB" w:eastAsia="zh-CN"/>
              </w:rPr>
              <w:t>优先保护单元</w:t>
            </w:r>
            <w:r>
              <w:rPr>
                <w:color w:val="auto"/>
                <w:sz w:val="24"/>
              </w:rPr>
              <w:t>，不涉及生态保护红线，本项目与环境管控单元对照分析示意图见图1-1</w:t>
            </w:r>
            <w:r>
              <w:rPr>
                <w:rFonts w:hint="eastAsia"/>
                <w:color w:val="auto"/>
                <w:sz w:val="24"/>
              </w:rPr>
              <w:t>。</w:t>
            </w:r>
          </w:p>
          <w:p w14:paraId="50E91DB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宋体"/>
                <w:color w:val="auto"/>
                <w:sz w:val="24"/>
                <w:szCs w:val="24"/>
                <w:lang w:eastAsia="zh-CN"/>
              </w:rPr>
            </w:pPr>
            <w:r>
              <w:rPr>
                <w:color w:val="auto"/>
              </w:rPr>
              <w:drawing>
                <wp:inline distT="0" distB="0" distL="114300" distR="114300">
                  <wp:extent cx="4191000" cy="5218430"/>
                  <wp:effectExtent l="0" t="0" r="0" b="889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2"/>
                          <a:stretch>
                            <a:fillRect/>
                          </a:stretch>
                        </pic:blipFill>
                        <pic:spPr>
                          <a:xfrm>
                            <a:off x="0" y="0"/>
                            <a:ext cx="4191000" cy="5218430"/>
                          </a:xfrm>
                          <a:prstGeom prst="rect">
                            <a:avLst/>
                          </a:prstGeom>
                          <a:noFill/>
                          <a:ln>
                            <a:noFill/>
                          </a:ln>
                        </pic:spPr>
                      </pic:pic>
                    </a:graphicData>
                  </a:graphic>
                </wp:inline>
              </w:drawing>
            </w:r>
          </w:p>
          <w:p w14:paraId="577576D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b/>
                <w:bCs/>
                <w:color w:val="auto"/>
                <w:sz w:val="24"/>
              </w:rPr>
            </w:pPr>
            <w:r>
              <w:rPr>
                <w:b/>
                <w:bCs/>
                <w:color w:val="auto"/>
                <w:sz w:val="24"/>
              </w:rPr>
              <w:t>图1-1本项目与</w:t>
            </w:r>
            <w:r>
              <w:rPr>
                <w:rFonts w:hint="eastAsia"/>
                <w:b/>
                <w:bCs/>
                <w:color w:val="auto"/>
                <w:sz w:val="24"/>
              </w:rPr>
              <w:t>陕西省“三线一单”生态</w:t>
            </w:r>
            <w:r>
              <w:rPr>
                <w:b/>
                <w:bCs/>
                <w:color w:val="auto"/>
                <w:sz w:val="24"/>
              </w:rPr>
              <w:t>环境管控单元对照分析图</w:t>
            </w:r>
          </w:p>
          <w:p w14:paraId="166BF2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rFonts w:hint="eastAsia"/>
                <w:b/>
                <w:bCs/>
                <w:color w:val="auto"/>
                <w:sz w:val="21"/>
                <w:szCs w:val="21"/>
              </w:rPr>
              <w:t>[</w:t>
            </w:r>
            <w:r>
              <w:rPr>
                <w:b/>
                <w:bCs/>
                <w:color w:val="auto"/>
                <w:sz w:val="21"/>
                <w:szCs w:val="21"/>
              </w:rPr>
              <w:t>来源说明：项目空间冲突分析图来源于陕西省生态环境厅官网陕西省</w:t>
            </w:r>
            <w:r>
              <w:rPr>
                <w:rFonts w:hint="eastAsia"/>
                <w:b/>
                <w:bCs/>
                <w:color w:val="auto"/>
                <w:sz w:val="21"/>
                <w:szCs w:val="21"/>
              </w:rPr>
              <w:t>“</w:t>
            </w:r>
            <w:r>
              <w:rPr>
                <w:b/>
                <w:bCs/>
                <w:color w:val="auto"/>
                <w:sz w:val="21"/>
                <w:szCs w:val="21"/>
              </w:rPr>
              <w:t>三线一单</w:t>
            </w:r>
            <w:r>
              <w:rPr>
                <w:rFonts w:hint="eastAsia"/>
                <w:b/>
                <w:bCs/>
                <w:color w:val="auto"/>
                <w:sz w:val="21"/>
                <w:szCs w:val="21"/>
              </w:rPr>
              <w:t>”</w:t>
            </w:r>
            <w:r>
              <w:rPr>
                <w:b/>
                <w:bCs/>
                <w:color w:val="auto"/>
                <w:sz w:val="21"/>
                <w:szCs w:val="21"/>
              </w:rPr>
              <w:t>数据应用系统（V1.0）</w:t>
            </w:r>
            <w:r>
              <w:rPr>
                <w:rFonts w:hint="eastAsia"/>
                <w:b/>
                <w:bCs/>
                <w:color w:val="auto"/>
                <w:sz w:val="21"/>
                <w:szCs w:val="21"/>
              </w:rPr>
              <w:t>]</w:t>
            </w:r>
          </w:p>
        </w:tc>
      </w:tr>
    </w:tbl>
    <w:p w14:paraId="59C3ADEC">
      <w:pPr>
        <w:spacing w:line="360" w:lineRule="auto"/>
        <w:ind w:left="0" w:leftChars="0" w:firstLine="0" w:firstLineChars="0"/>
        <w:outlineLvl w:val="0"/>
        <w:rPr>
          <w:rFonts w:ascii="Times New Roman" w:hAnsi="Times New Roman" w:eastAsia="宋体"/>
          <w:color w:val="auto"/>
          <w:sz w:val="30"/>
          <w:highlight w:val="none"/>
        </w:rPr>
        <w:sectPr>
          <w:footerReference r:id="rId7" w:type="default"/>
          <w:pgSz w:w="11906" w:h="16838"/>
          <w:pgMar w:top="1361" w:right="1304" w:bottom="1304" w:left="1304" w:header="851" w:footer="850" w:gutter="0"/>
          <w:pgBorders>
            <w:top w:val="none" w:sz="0" w:space="0"/>
            <w:left w:val="none" w:sz="0" w:space="0"/>
            <w:bottom w:val="none" w:sz="0" w:space="0"/>
            <w:right w:val="none" w:sz="0" w:space="0"/>
          </w:pgBorders>
          <w:pgNumType w:fmt="decimal" w:start="1"/>
          <w:cols w:space="720" w:num="1"/>
          <w:docGrid w:linePitch="312" w:charSpace="0"/>
        </w:sectPr>
      </w:pPr>
    </w:p>
    <w:tbl>
      <w:tblPr>
        <w:tblStyle w:val="26"/>
        <w:tblW w:w="5374" w:type="pct"/>
        <w:tblInd w:w="-6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14459"/>
      </w:tblGrid>
      <w:tr w14:paraId="1E9B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94" w:hRule="atLeast"/>
        </w:trPr>
        <w:tc>
          <w:tcPr>
            <w:tcW w:w="344" w:type="pct"/>
            <w:noWrap w:val="0"/>
            <w:vAlign w:val="center"/>
          </w:tcPr>
          <w:p w14:paraId="7BAE9A6D">
            <w:pPr>
              <w:spacing w:line="360" w:lineRule="auto"/>
              <w:ind w:left="0" w:leftChars="0" w:firstLine="0" w:firstLineChars="0"/>
              <w:jc w:val="center"/>
              <w:outlineLvl w:val="0"/>
              <w:rPr>
                <w:rFonts w:ascii="Times New Roman" w:hAnsi="Times New Roman" w:eastAsia="宋体"/>
                <w:color w:val="auto"/>
                <w:sz w:val="30"/>
                <w:highlight w:val="none"/>
                <w:vertAlign w:val="baseline"/>
              </w:rPr>
            </w:pPr>
            <w:r>
              <w:rPr>
                <w:rFonts w:hint="eastAsia" w:ascii="Times New Roman" w:hAnsi="Times New Roman" w:eastAsia="宋体" w:cs="宋体"/>
                <w:color w:val="auto"/>
                <w:kern w:val="0"/>
                <w:szCs w:val="21"/>
                <w:highlight w:val="none"/>
              </w:rPr>
              <w:t>其他符合性分析</w:t>
            </w:r>
          </w:p>
        </w:tc>
        <w:tc>
          <w:tcPr>
            <w:tcW w:w="4655" w:type="pct"/>
            <w:noWrap w:val="0"/>
            <w:vAlign w:val="top"/>
          </w:tcPr>
          <w:p w14:paraId="20E26E1A">
            <w:pPr>
              <w:spacing w:line="360" w:lineRule="auto"/>
              <w:ind w:firstLine="482" w:firstLineChars="200"/>
              <w:contextualSpacing/>
              <w:rPr>
                <w:rFonts w:hint="default" w:ascii="Times New Roman" w:hAnsi="Times New Roman" w:eastAsia="宋体" w:cs="Times New Roman"/>
                <w:b/>
                <w:bCs/>
                <w:color w:val="auto"/>
                <w:kern w:val="0"/>
                <w:sz w:val="24"/>
                <w:lang w:val="en-US" w:eastAsia="zh-CN"/>
              </w:rPr>
            </w:pPr>
            <w:r>
              <w:rPr>
                <w:rFonts w:hint="eastAsia" w:ascii="Times New Roman" w:hAnsi="Times New Roman" w:eastAsia="宋体" w:cs="Times New Roman"/>
                <w:b/>
                <w:bCs/>
                <w:color w:val="auto"/>
                <w:kern w:val="0"/>
                <w:sz w:val="24"/>
                <w:lang w:val="en-US" w:eastAsia="zh-CN"/>
              </w:rPr>
              <w:t>（2）</w:t>
            </w:r>
            <w:r>
              <w:rPr>
                <w:rFonts w:hint="eastAsia" w:cs="Times New Roman"/>
                <w:b/>
                <w:bCs/>
                <w:color w:val="auto"/>
                <w:kern w:val="0"/>
                <w:sz w:val="24"/>
                <w:lang w:val="en-US" w:eastAsia="zh-CN"/>
              </w:rPr>
              <w:t>“</w:t>
            </w:r>
            <w:r>
              <w:rPr>
                <w:rFonts w:hint="eastAsia" w:ascii="Times New Roman" w:hAnsi="Times New Roman" w:eastAsia="宋体" w:cs="Times New Roman"/>
                <w:b/>
                <w:bCs/>
                <w:color w:val="auto"/>
                <w:kern w:val="0"/>
                <w:sz w:val="24"/>
                <w:lang w:val="en-US" w:eastAsia="zh-CN"/>
              </w:rPr>
              <w:t>一表</w:t>
            </w:r>
            <w:r>
              <w:rPr>
                <w:rFonts w:hint="eastAsia" w:cs="Times New Roman"/>
                <w:b/>
                <w:bCs/>
                <w:color w:val="auto"/>
                <w:kern w:val="0"/>
                <w:sz w:val="24"/>
                <w:lang w:val="en-US" w:eastAsia="zh-CN"/>
              </w:rPr>
              <w:t>”</w:t>
            </w:r>
          </w:p>
          <w:p w14:paraId="421B1C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b/>
                <w:bCs/>
                <w:color w:val="auto"/>
                <w:sz w:val="21"/>
                <w:szCs w:val="21"/>
              </w:rPr>
            </w:pPr>
            <w:r>
              <w:rPr>
                <w:rFonts w:hint="eastAsia"/>
                <w:color w:val="auto"/>
                <w:sz w:val="24"/>
                <w:lang w:eastAsia="zh-CN"/>
              </w:rPr>
              <w:t>按</w:t>
            </w:r>
            <w:r>
              <w:rPr>
                <w:rFonts w:hint="eastAsia"/>
                <w:color w:val="auto"/>
                <w:sz w:val="24"/>
              </w:rPr>
              <w:t>陕西省“三线一单”数据应用系统导出的</w:t>
            </w:r>
            <w:r>
              <w:rPr>
                <w:rFonts w:hint="eastAsia"/>
                <w:color w:val="auto"/>
                <w:sz w:val="24"/>
                <w:lang w:eastAsia="zh-CN"/>
              </w:rPr>
              <w:t>汉中</w:t>
            </w:r>
            <w:r>
              <w:rPr>
                <w:rFonts w:hint="eastAsia"/>
                <w:color w:val="auto"/>
                <w:sz w:val="24"/>
              </w:rPr>
              <w:t>市“三线一单”生态环境管控单元对照分析报告，本项目</w:t>
            </w:r>
            <w:r>
              <w:rPr>
                <w:rFonts w:hint="eastAsia"/>
                <w:color w:val="auto"/>
                <w:sz w:val="24"/>
                <w:lang w:eastAsia="zh-CN"/>
              </w:rPr>
              <w:t>环境管控单元、</w:t>
            </w:r>
            <w:r>
              <w:rPr>
                <w:rFonts w:hint="eastAsia"/>
                <w:color w:val="auto"/>
                <w:sz w:val="24"/>
              </w:rPr>
              <w:t>区域环境管控符合性分析</w:t>
            </w:r>
            <w:r>
              <w:rPr>
                <w:rFonts w:hint="eastAsia"/>
                <w:color w:val="auto"/>
                <w:sz w:val="24"/>
                <w:lang w:eastAsia="zh-CN"/>
              </w:rPr>
              <w:t>详见下</w:t>
            </w:r>
            <w:r>
              <w:rPr>
                <w:rFonts w:hint="eastAsia"/>
                <w:color w:val="auto"/>
                <w:sz w:val="24"/>
              </w:rPr>
              <w:t>表</w:t>
            </w:r>
            <w:r>
              <w:rPr>
                <w:rFonts w:hint="eastAsia"/>
                <w:color w:val="auto"/>
                <w:sz w:val="24"/>
                <w:lang w:eastAsia="zh-CN"/>
              </w:rPr>
              <w:t>：</w:t>
            </w:r>
          </w:p>
          <w:p w14:paraId="043014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vertAlign w:val="baseline"/>
              </w:rPr>
            </w:pPr>
            <w:r>
              <w:rPr>
                <w:b/>
                <w:bCs/>
                <w:color w:val="auto"/>
                <w:sz w:val="21"/>
                <w:szCs w:val="21"/>
              </w:rPr>
              <w:t>表</w:t>
            </w:r>
            <w:r>
              <w:rPr>
                <w:rFonts w:hint="eastAsia"/>
                <w:b/>
                <w:bCs/>
                <w:color w:val="auto"/>
                <w:sz w:val="21"/>
                <w:szCs w:val="21"/>
              </w:rPr>
              <w:t>1-3</w:t>
            </w:r>
            <w:r>
              <w:rPr>
                <w:rFonts w:hint="eastAsia"/>
                <w:b/>
                <w:bCs/>
                <w:color w:val="auto"/>
                <w:sz w:val="21"/>
                <w:szCs w:val="21"/>
                <w:lang w:eastAsia="zh-CN"/>
              </w:rPr>
              <w:t>本</w:t>
            </w:r>
            <w:r>
              <w:rPr>
                <w:rFonts w:hint="default" w:ascii="Times New Roman" w:hAnsi="Times New Roman" w:eastAsia="宋体" w:cs="Times New Roman"/>
                <w:b/>
                <w:bCs/>
                <w:color w:val="auto"/>
                <w:sz w:val="21"/>
                <w:szCs w:val="21"/>
                <w:highlight w:val="none"/>
                <w:lang w:val="en-US" w:eastAsia="zh-CN"/>
              </w:rPr>
              <w:t>项目与</w:t>
            </w:r>
            <w:r>
              <w:rPr>
                <w:rFonts w:hint="eastAsia" w:ascii="Times New Roman" w:hAnsi="Times New Roman" w:eastAsia="宋体" w:cs="Times New Roman"/>
                <w:b/>
                <w:bCs/>
                <w:color w:val="auto"/>
                <w:sz w:val="21"/>
                <w:szCs w:val="21"/>
                <w:highlight w:val="none"/>
                <w:lang w:val="en-US" w:eastAsia="zh-CN"/>
              </w:rPr>
              <w:t>“三线一单”生态环境管控单元准入清单</w:t>
            </w:r>
            <w:r>
              <w:rPr>
                <w:rFonts w:hint="default" w:ascii="Times New Roman" w:hAnsi="Times New Roman" w:eastAsia="宋体" w:cs="Times New Roman"/>
                <w:b/>
                <w:bCs/>
                <w:color w:val="auto"/>
                <w:sz w:val="21"/>
                <w:szCs w:val="21"/>
                <w:highlight w:val="none"/>
                <w:lang w:val="en-US" w:eastAsia="zh-CN"/>
              </w:rPr>
              <w:t>符合性分析</w:t>
            </w:r>
          </w:p>
          <w:tbl>
            <w:tblPr>
              <w:tblStyle w:val="26"/>
              <w:tblW w:w="499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2"/>
              <w:gridCol w:w="888"/>
              <w:gridCol w:w="497"/>
              <w:gridCol w:w="600"/>
              <w:gridCol w:w="1271"/>
              <w:gridCol w:w="1017"/>
              <w:gridCol w:w="5117"/>
              <w:gridCol w:w="1071"/>
              <w:gridCol w:w="2934"/>
              <w:gridCol w:w="383"/>
            </w:tblGrid>
            <w:tr w14:paraId="252B82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148" w:type="pct"/>
                  <w:tcBorders>
                    <w:tl2br w:val="nil"/>
                    <w:tr2bl w:val="nil"/>
                  </w:tcBorders>
                  <w:vAlign w:val="center"/>
                </w:tcPr>
                <w:p w14:paraId="000230EC">
                  <w:pPr>
                    <w:keepNext w:val="0"/>
                    <w:keepLines w:val="0"/>
                    <w:pageBreakBefore w:val="0"/>
                    <w:kinsoku/>
                    <w:wordWrap/>
                    <w:overflowPunct/>
                    <w:topLinePunct w:val="0"/>
                    <w:bidi w:val="0"/>
                    <w:spacing w:line="240" w:lineRule="auto"/>
                    <w:ind w:leftChars="0" w:firstLine="0" w:firstLineChars="0"/>
                    <w:jc w:val="center"/>
                    <w:textAlignment w:val="auto"/>
                    <w:rPr>
                      <w:b/>
                      <w:bCs/>
                      <w:color w:val="auto"/>
                      <w:sz w:val="21"/>
                      <w:szCs w:val="21"/>
                    </w:rPr>
                  </w:pPr>
                  <w:r>
                    <w:rPr>
                      <w:rFonts w:hint="eastAsia"/>
                      <w:b/>
                      <w:bCs/>
                      <w:color w:val="auto"/>
                      <w:sz w:val="21"/>
                      <w:szCs w:val="21"/>
                    </w:rPr>
                    <w:t>序号</w:t>
                  </w:r>
                </w:p>
              </w:tc>
              <w:tc>
                <w:tcPr>
                  <w:tcW w:w="312" w:type="pct"/>
                  <w:tcBorders>
                    <w:tl2br w:val="nil"/>
                    <w:tr2bl w:val="nil"/>
                  </w:tcBorders>
                  <w:vAlign w:val="center"/>
                </w:tcPr>
                <w:p w14:paraId="01DB30F3">
                  <w:pPr>
                    <w:keepNext w:val="0"/>
                    <w:keepLines w:val="0"/>
                    <w:pageBreakBefore w:val="0"/>
                    <w:kinsoku/>
                    <w:wordWrap/>
                    <w:overflowPunct/>
                    <w:topLinePunct w:val="0"/>
                    <w:bidi w:val="0"/>
                    <w:spacing w:line="240" w:lineRule="auto"/>
                    <w:ind w:leftChars="0" w:firstLine="0" w:firstLineChars="0"/>
                    <w:jc w:val="center"/>
                    <w:textAlignment w:val="auto"/>
                    <w:rPr>
                      <w:b/>
                      <w:bCs/>
                      <w:color w:val="auto"/>
                      <w:sz w:val="21"/>
                      <w:szCs w:val="21"/>
                    </w:rPr>
                  </w:pPr>
                  <w:r>
                    <w:rPr>
                      <w:rFonts w:hint="eastAsia"/>
                      <w:b/>
                      <w:bCs/>
                      <w:color w:val="auto"/>
                      <w:sz w:val="21"/>
                      <w:szCs w:val="21"/>
                    </w:rPr>
                    <w:t>环境管控单元名称</w:t>
                  </w:r>
                </w:p>
              </w:tc>
              <w:tc>
                <w:tcPr>
                  <w:tcW w:w="175" w:type="pct"/>
                  <w:tcBorders>
                    <w:tl2br w:val="nil"/>
                    <w:tr2bl w:val="nil"/>
                  </w:tcBorders>
                  <w:vAlign w:val="center"/>
                </w:tcPr>
                <w:p w14:paraId="6E97F5C8">
                  <w:pPr>
                    <w:keepNext w:val="0"/>
                    <w:keepLines w:val="0"/>
                    <w:pageBreakBefore w:val="0"/>
                    <w:kinsoku/>
                    <w:wordWrap/>
                    <w:overflowPunct/>
                    <w:topLinePunct w:val="0"/>
                    <w:bidi w:val="0"/>
                    <w:spacing w:line="240" w:lineRule="auto"/>
                    <w:ind w:leftChars="0" w:firstLine="0" w:firstLineChars="0"/>
                    <w:jc w:val="center"/>
                    <w:textAlignment w:val="auto"/>
                    <w:rPr>
                      <w:b/>
                      <w:bCs/>
                      <w:color w:val="auto"/>
                      <w:sz w:val="21"/>
                      <w:szCs w:val="21"/>
                    </w:rPr>
                  </w:pPr>
                  <w:r>
                    <w:rPr>
                      <w:rFonts w:hint="eastAsia"/>
                      <w:b/>
                      <w:bCs/>
                      <w:color w:val="auto"/>
                      <w:sz w:val="21"/>
                      <w:szCs w:val="21"/>
                    </w:rPr>
                    <w:t>区县</w:t>
                  </w:r>
                </w:p>
              </w:tc>
              <w:tc>
                <w:tcPr>
                  <w:tcW w:w="211" w:type="pct"/>
                  <w:tcBorders>
                    <w:tl2br w:val="nil"/>
                    <w:tr2bl w:val="nil"/>
                  </w:tcBorders>
                  <w:vAlign w:val="center"/>
                </w:tcPr>
                <w:p w14:paraId="3429DDF2">
                  <w:pPr>
                    <w:keepNext w:val="0"/>
                    <w:keepLines w:val="0"/>
                    <w:pageBreakBefore w:val="0"/>
                    <w:kinsoku/>
                    <w:wordWrap/>
                    <w:overflowPunct/>
                    <w:topLinePunct w:val="0"/>
                    <w:bidi w:val="0"/>
                    <w:spacing w:line="240" w:lineRule="auto"/>
                    <w:ind w:leftChars="0" w:firstLine="0" w:firstLineChars="0"/>
                    <w:jc w:val="center"/>
                    <w:textAlignment w:val="auto"/>
                    <w:rPr>
                      <w:b/>
                      <w:bCs/>
                      <w:color w:val="auto"/>
                      <w:sz w:val="21"/>
                      <w:szCs w:val="21"/>
                    </w:rPr>
                  </w:pPr>
                  <w:r>
                    <w:rPr>
                      <w:rFonts w:hint="eastAsia"/>
                      <w:b/>
                      <w:bCs/>
                      <w:color w:val="auto"/>
                      <w:sz w:val="21"/>
                      <w:szCs w:val="21"/>
                    </w:rPr>
                    <w:t>市(区)</w:t>
                  </w:r>
                </w:p>
              </w:tc>
              <w:tc>
                <w:tcPr>
                  <w:tcW w:w="447" w:type="pct"/>
                  <w:tcBorders>
                    <w:tl2br w:val="nil"/>
                    <w:tr2bl w:val="nil"/>
                  </w:tcBorders>
                  <w:vAlign w:val="center"/>
                </w:tcPr>
                <w:p w14:paraId="2C35FC9C">
                  <w:pPr>
                    <w:keepNext w:val="0"/>
                    <w:keepLines w:val="0"/>
                    <w:pageBreakBefore w:val="0"/>
                    <w:kinsoku/>
                    <w:wordWrap/>
                    <w:overflowPunct/>
                    <w:topLinePunct w:val="0"/>
                    <w:bidi w:val="0"/>
                    <w:spacing w:line="240" w:lineRule="auto"/>
                    <w:ind w:leftChars="0" w:firstLine="0" w:firstLineChars="0"/>
                    <w:jc w:val="center"/>
                    <w:textAlignment w:val="auto"/>
                    <w:rPr>
                      <w:b/>
                      <w:bCs/>
                      <w:color w:val="auto"/>
                      <w:sz w:val="21"/>
                      <w:szCs w:val="21"/>
                    </w:rPr>
                  </w:pPr>
                  <w:r>
                    <w:rPr>
                      <w:rFonts w:hint="eastAsia"/>
                      <w:b/>
                      <w:bCs/>
                      <w:color w:val="auto"/>
                      <w:sz w:val="21"/>
                      <w:szCs w:val="21"/>
                    </w:rPr>
                    <w:t>单元要素属性</w:t>
                  </w:r>
                </w:p>
              </w:tc>
              <w:tc>
                <w:tcPr>
                  <w:tcW w:w="358" w:type="pct"/>
                  <w:tcBorders>
                    <w:tl2br w:val="nil"/>
                    <w:tr2bl w:val="nil"/>
                  </w:tcBorders>
                  <w:vAlign w:val="center"/>
                </w:tcPr>
                <w:p w14:paraId="273CE688">
                  <w:pPr>
                    <w:keepNext w:val="0"/>
                    <w:keepLines w:val="0"/>
                    <w:pageBreakBefore w:val="0"/>
                    <w:kinsoku/>
                    <w:wordWrap/>
                    <w:overflowPunct/>
                    <w:topLinePunct w:val="0"/>
                    <w:bidi w:val="0"/>
                    <w:spacing w:line="240" w:lineRule="auto"/>
                    <w:ind w:leftChars="0" w:firstLine="0" w:firstLineChars="0"/>
                    <w:jc w:val="center"/>
                    <w:textAlignment w:val="auto"/>
                    <w:rPr>
                      <w:b/>
                      <w:bCs/>
                      <w:color w:val="auto"/>
                      <w:sz w:val="21"/>
                      <w:szCs w:val="21"/>
                    </w:rPr>
                  </w:pPr>
                  <w:r>
                    <w:rPr>
                      <w:rFonts w:hint="eastAsia"/>
                      <w:b/>
                      <w:bCs/>
                      <w:color w:val="auto"/>
                      <w:sz w:val="21"/>
                      <w:szCs w:val="21"/>
                    </w:rPr>
                    <w:t>管控单元分类</w:t>
                  </w:r>
                </w:p>
              </w:tc>
              <w:tc>
                <w:tcPr>
                  <w:tcW w:w="1801" w:type="pct"/>
                  <w:tcBorders>
                    <w:tl2br w:val="nil"/>
                    <w:tr2bl w:val="nil"/>
                  </w:tcBorders>
                  <w:vAlign w:val="center"/>
                </w:tcPr>
                <w:p w14:paraId="22CFB75D">
                  <w:pPr>
                    <w:keepNext w:val="0"/>
                    <w:keepLines w:val="0"/>
                    <w:pageBreakBefore w:val="0"/>
                    <w:kinsoku/>
                    <w:wordWrap/>
                    <w:overflowPunct/>
                    <w:topLinePunct w:val="0"/>
                    <w:bidi w:val="0"/>
                    <w:spacing w:line="240" w:lineRule="auto"/>
                    <w:ind w:leftChars="0" w:firstLine="0" w:firstLineChars="0"/>
                    <w:jc w:val="center"/>
                    <w:textAlignment w:val="auto"/>
                    <w:rPr>
                      <w:b/>
                      <w:bCs/>
                      <w:color w:val="auto"/>
                      <w:sz w:val="21"/>
                      <w:szCs w:val="21"/>
                    </w:rPr>
                  </w:pPr>
                  <w:r>
                    <w:rPr>
                      <w:rFonts w:hint="eastAsia"/>
                      <w:b/>
                      <w:bCs/>
                      <w:color w:val="auto"/>
                      <w:sz w:val="21"/>
                      <w:szCs w:val="21"/>
                    </w:rPr>
                    <w:t>管控要求</w:t>
                  </w:r>
                </w:p>
              </w:tc>
              <w:tc>
                <w:tcPr>
                  <w:tcW w:w="377" w:type="pct"/>
                  <w:tcBorders>
                    <w:tl2br w:val="nil"/>
                    <w:tr2bl w:val="nil"/>
                  </w:tcBorders>
                  <w:vAlign w:val="center"/>
                </w:tcPr>
                <w:p w14:paraId="1A463E1D">
                  <w:pPr>
                    <w:keepNext w:val="0"/>
                    <w:keepLines w:val="0"/>
                    <w:pageBreakBefore w:val="0"/>
                    <w:kinsoku/>
                    <w:wordWrap/>
                    <w:overflowPunct/>
                    <w:topLinePunct w:val="0"/>
                    <w:bidi w:val="0"/>
                    <w:spacing w:line="240" w:lineRule="auto"/>
                    <w:ind w:leftChars="0" w:firstLine="0" w:firstLineChars="0"/>
                    <w:jc w:val="center"/>
                    <w:textAlignment w:val="auto"/>
                    <w:rPr>
                      <w:b/>
                      <w:bCs/>
                      <w:color w:val="auto"/>
                      <w:sz w:val="21"/>
                      <w:szCs w:val="21"/>
                    </w:rPr>
                  </w:pPr>
                  <w:r>
                    <w:rPr>
                      <w:rFonts w:hint="eastAsia"/>
                      <w:b/>
                      <w:bCs/>
                      <w:color w:val="auto"/>
                      <w:sz w:val="21"/>
                      <w:szCs w:val="21"/>
                    </w:rPr>
                    <w:t>面积/长度（</w:t>
                  </w:r>
                  <w:r>
                    <w:rPr>
                      <w:rFonts w:hint="eastAsia"/>
                      <w:b/>
                      <w:bCs/>
                      <w:color w:val="auto"/>
                      <w:sz w:val="21"/>
                      <w:szCs w:val="21"/>
                      <w:lang w:val="en-US" w:eastAsia="zh-CN"/>
                    </w:rPr>
                    <w:t>m</w:t>
                  </w:r>
                  <w:r>
                    <w:rPr>
                      <w:rFonts w:hint="eastAsia"/>
                      <w:b/>
                      <w:bCs/>
                      <w:color w:val="auto"/>
                      <w:sz w:val="21"/>
                      <w:szCs w:val="21"/>
                      <w:vertAlign w:val="superscript"/>
                      <w:lang w:val="en-US" w:eastAsia="zh-CN"/>
                    </w:rPr>
                    <w:t>2</w:t>
                  </w:r>
                  <w:r>
                    <w:rPr>
                      <w:rFonts w:hint="eastAsia"/>
                      <w:b/>
                      <w:bCs/>
                      <w:color w:val="auto"/>
                      <w:sz w:val="21"/>
                      <w:szCs w:val="21"/>
                      <w:vertAlign w:val="baseline"/>
                      <w:lang w:val="en-US" w:eastAsia="zh-CN"/>
                    </w:rPr>
                    <w:t>/m</w:t>
                  </w:r>
                  <w:r>
                    <w:rPr>
                      <w:rFonts w:hint="eastAsia"/>
                      <w:b/>
                      <w:bCs/>
                      <w:color w:val="auto"/>
                      <w:sz w:val="21"/>
                      <w:szCs w:val="21"/>
                    </w:rPr>
                    <w:t>）</w:t>
                  </w:r>
                </w:p>
              </w:tc>
              <w:tc>
                <w:tcPr>
                  <w:tcW w:w="1033" w:type="pct"/>
                  <w:tcBorders>
                    <w:tl2br w:val="nil"/>
                    <w:tr2bl w:val="nil"/>
                  </w:tcBorders>
                  <w:vAlign w:val="center"/>
                </w:tcPr>
                <w:p w14:paraId="6A68E1F0">
                  <w:pPr>
                    <w:keepNext w:val="0"/>
                    <w:keepLines w:val="0"/>
                    <w:pageBreakBefore w:val="0"/>
                    <w:kinsoku/>
                    <w:wordWrap/>
                    <w:overflowPunct/>
                    <w:topLinePunct w:val="0"/>
                    <w:bidi w:val="0"/>
                    <w:spacing w:line="240" w:lineRule="auto"/>
                    <w:ind w:leftChars="0" w:firstLine="0" w:firstLineChars="0"/>
                    <w:jc w:val="center"/>
                    <w:textAlignment w:val="auto"/>
                    <w:rPr>
                      <w:b/>
                      <w:bCs/>
                      <w:color w:val="auto"/>
                      <w:sz w:val="21"/>
                      <w:szCs w:val="21"/>
                    </w:rPr>
                  </w:pPr>
                  <w:r>
                    <w:rPr>
                      <w:rFonts w:hint="eastAsia"/>
                      <w:b/>
                      <w:bCs/>
                      <w:color w:val="auto"/>
                      <w:sz w:val="21"/>
                      <w:szCs w:val="21"/>
                    </w:rPr>
                    <w:t>本项目情况说明</w:t>
                  </w:r>
                </w:p>
              </w:tc>
              <w:tc>
                <w:tcPr>
                  <w:tcW w:w="134" w:type="pct"/>
                  <w:tcBorders>
                    <w:tl2br w:val="nil"/>
                    <w:tr2bl w:val="nil"/>
                  </w:tcBorders>
                  <w:vAlign w:val="center"/>
                </w:tcPr>
                <w:p w14:paraId="6074353B">
                  <w:pPr>
                    <w:keepNext w:val="0"/>
                    <w:keepLines w:val="0"/>
                    <w:pageBreakBefore w:val="0"/>
                    <w:kinsoku/>
                    <w:wordWrap/>
                    <w:overflowPunct/>
                    <w:topLinePunct w:val="0"/>
                    <w:bidi w:val="0"/>
                    <w:spacing w:line="240" w:lineRule="auto"/>
                    <w:ind w:leftChars="0" w:firstLine="0" w:firstLineChars="0"/>
                    <w:jc w:val="center"/>
                    <w:textAlignment w:val="auto"/>
                    <w:rPr>
                      <w:b/>
                      <w:bCs/>
                      <w:color w:val="auto"/>
                      <w:sz w:val="21"/>
                      <w:szCs w:val="21"/>
                    </w:rPr>
                  </w:pPr>
                  <w:r>
                    <w:rPr>
                      <w:rFonts w:hint="eastAsia"/>
                      <w:b/>
                      <w:bCs/>
                      <w:color w:val="auto"/>
                      <w:sz w:val="21"/>
                      <w:szCs w:val="21"/>
                    </w:rPr>
                    <w:t>符合性</w:t>
                  </w:r>
                </w:p>
              </w:tc>
            </w:tr>
            <w:tr w14:paraId="2035B9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148" w:type="pct"/>
                  <w:tcBorders>
                    <w:tl2br w:val="nil"/>
                    <w:tr2bl w:val="nil"/>
                  </w:tcBorders>
                  <w:vAlign w:val="center"/>
                </w:tcPr>
                <w:p w14:paraId="1A226AA9">
                  <w:pPr>
                    <w:keepNext w:val="0"/>
                    <w:keepLines w:val="0"/>
                    <w:pageBreakBefore w:val="0"/>
                    <w:widowControl w:val="0"/>
                    <w:numPr>
                      <w:ilvl w:val="0"/>
                      <w:numId w:val="0"/>
                    </w:numPr>
                    <w:kinsoku/>
                    <w:wordWrap/>
                    <w:overflowPunct/>
                    <w:topLinePunct w:val="0"/>
                    <w:bidi w:val="0"/>
                    <w:adjustRightInd/>
                    <w:snapToGrid/>
                    <w:spacing w:line="240" w:lineRule="auto"/>
                    <w:ind w:leftChars="0"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1</w:t>
                  </w:r>
                </w:p>
              </w:tc>
              <w:tc>
                <w:tcPr>
                  <w:tcW w:w="312" w:type="pct"/>
                  <w:tcBorders>
                    <w:tl2br w:val="nil"/>
                    <w:tr2bl w:val="nil"/>
                  </w:tcBorders>
                  <w:vAlign w:val="center"/>
                </w:tcPr>
                <w:p w14:paraId="1D789A2F">
                  <w:pPr>
                    <w:keepNext w:val="0"/>
                    <w:keepLines w:val="0"/>
                    <w:pageBreakBefore w:val="0"/>
                    <w:kinsoku/>
                    <w:wordWrap/>
                    <w:overflowPunct/>
                    <w:topLinePunct w:val="0"/>
                    <w:bidi w:val="0"/>
                    <w:spacing w:line="240" w:lineRule="auto"/>
                    <w:ind w:leftChars="0" w:firstLine="0" w:firstLineChars="0"/>
                    <w:jc w:val="center"/>
                    <w:textAlignment w:val="auto"/>
                    <w:rPr>
                      <w:rFonts w:hint="eastAsia" w:eastAsia="宋体"/>
                      <w:b/>
                      <w:bCs/>
                      <w:color w:val="auto"/>
                      <w:sz w:val="21"/>
                      <w:szCs w:val="21"/>
                      <w:lang w:eastAsia="zh-CN"/>
                    </w:rPr>
                  </w:pPr>
                  <w:r>
                    <w:rPr>
                      <w:rFonts w:hint="eastAsia"/>
                      <w:color w:val="auto"/>
                      <w:sz w:val="21"/>
                      <w:szCs w:val="21"/>
                      <w:lang w:eastAsia="zh-CN"/>
                    </w:rPr>
                    <w:t>陕西省汉中市佛坪县优先保护单元</w:t>
                  </w:r>
                  <w:r>
                    <w:rPr>
                      <w:rFonts w:hint="eastAsia"/>
                      <w:color w:val="auto"/>
                      <w:sz w:val="21"/>
                      <w:szCs w:val="21"/>
                      <w:lang w:val="en-US" w:eastAsia="zh-CN"/>
                    </w:rPr>
                    <w:t>3</w:t>
                  </w:r>
                </w:p>
              </w:tc>
              <w:tc>
                <w:tcPr>
                  <w:tcW w:w="175" w:type="pct"/>
                  <w:tcBorders>
                    <w:tl2br w:val="nil"/>
                    <w:tr2bl w:val="nil"/>
                  </w:tcBorders>
                  <w:vAlign w:val="center"/>
                </w:tcPr>
                <w:p w14:paraId="5E677E3A">
                  <w:pPr>
                    <w:keepNext w:val="0"/>
                    <w:keepLines w:val="0"/>
                    <w:pageBreakBefore w:val="0"/>
                    <w:kinsoku/>
                    <w:wordWrap/>
                    <w:overflowPunct/>
                    <w:topLinePunct w:val="0"/>
                    <w:bidi w:val="0"/>
                    <w:spacing w:line="240" w:lineRule="auto"/>
                    <w:ind w:leftChars="0" w:firstLine="0" w:firstLineChars="0"/>
                    <w:jc w:val="center"/>
                    <w:textAlignment w:val="auto"/>
                    <w:rPr>
                      <w:rFonts w:hint="eastAsia" w:eastAsia="宋体"/>
                      <w:b/>
                      <w:bCs/>
                      <w:color w:val="auto"/>
                      <w:sz w:val="21"/>
                      <w:szCs w:val="21"/>
                      <w:lang w:eastAsia="zh-CN"/>
                    </w:rPr>
                  </w:pPr>
                  <w:r>
                    <w:rPr>
                      <w:rFonts w:hint="eastAsia"/>
                      <w:color w:val="auto"/>
                      <w:sz w:val="21"/>
                      <w:szCs w:val="21"/>
                      <w:lang w:eastAsia="zh-CN"/>
                    </w:rPr>
                    <w:t>佛坪县</w:t>
                  </w:r>
                </w:p>
              </w:tc>
              <w:tc>
                <w:tcPr>
                  <w:tcW w:w="211" w:type="pct"/>
                  <w:tcBorders>
                    <w:tl2br w:val="nil"/>
                    <w:tr2bl w:val="nil"/>
                  </w:tcBorders>
                  <w:vAlign w:val="center"/>
                </w:tcPr>
                <w:p w14:paraId="7936A996">
                  <w:pPr>
                    <w:keepNext w:val="0"/>
                    <w:keepLines w:val="0"/>
                    <w:pageBreakBefore w:val="0"/>
                    <w:kinsoku/>
                    <w:wordWrap/>
                    <w:overflowPunct/>
                    <w:topLinePunct w:val="0"/>
                    <w:bidi w:val="0"/>
                    <w:spacing w:line="240" w:lineRule="auto"/>
                    <w:ind w:leftChars="0" w:firstLine="0" w:firstLineChars="0"/>
                    <w:jc w:val="center"/>
                    <w:textAlignment w:val="auto"/>
                    <w:rPr>
                      <w:rFonts w:hint="eastAsia"/>
                      <w:b/>
                      <w:bCs/>
                      <w:color w:val="auto"/>
                      <w:sz w:val="21"/>
                      <w:szCs w:val="21"/>
                    </w:rPr>
                  </w:pPr>
                  <w:r>
                    <w:rPr>
                      <w:rFonts w:hint="eastAsia"/>
                      <w:color w:val="auto"/>
                      <w:sz w:val="21"/>
                      <w:szCs w:val="21"/>
                      <w:lang w:eastAsia="zh-CN"/>
                    </w:rPr>
                    <w:t>汉中</w:t>
                  </w:r>
                  <w:r>
                    <w:rPr>
                      <w:rFonts w:hint="eastAsia"/>
                      <w:color w:val="auto"/>
                      <w:sz w:val="21"/>
                      <w:szCs w:val="21"/>
                    </w:rPr>
                    <w:t>市</w:t>
                  </w:r>
                </w:p>
              </w:tc>
              <w:tc>
                <w:tcPr>
                  <w:tcW w:w="447" w:type="pct"/>
                  <w:tcBorders>
                    <w:tl2br w:val="nil"/>
                    <w:tr2bl w:val="nil"/>
                  </w:tcBorders>
                  <w:vAlign w:val="center"/>
                </w:tcPr>
                <w:p w14:paraId="481551CB">
                  <w:pPr>
                    <w:keepNext w:val="0"/>
                    <w:keepLines w:val="0"/>
                    <w:pageBreakBefore w:val="0"/>
                    <w:kinsoku/>
                    <w:wordWrap/>
                    <w:overflowPunct/>
                    <w:topLinePunct w:val="0"/>
                    <w:bidi w:val="0"/>
                    <w:spacing w:line="240" w:lineRule="auto"/>
                    <w:ind w:leftChars="0" w:firstLine="0" w:firstLineChars="0"/>
                    <w:jc w:val="center"/>
                    <w:textAlignment w:val="auto"/>
                    <w:rPr>
                      <w:rFonts w:hint="eastAsia"/>
                      <w:color w:val="auto"/>
                      <w:sz w:val="21"/>
                      <w:szCs w:val="21"/>
                      <w:lang w:eastAsia="zh-CN"/>
                    </w:rPr>
                  </w:pPr>
                  <w:r>
                    <w:rPr>
                      <w:rFonts w:hint="eastAsia"/>
                      <w:color w:val="auto"/>
                      <w:sz w:val="21"/>
                      <w:szCs w:val="21"/>
                      <w:lang w:eastAsia="zh-CN"/>
                    </w:rPr>
                    <w:t>水环境优先保护区</w:t>
                  </w:r>
                </w:p>
              </w:tc>
              <w:tc>
                <w:tcPr>
                  <w:tcW w:w="358" w:type="pct"/>
                  <w:tcBorders>
                    <w:tl2br w:val="nil"/>
                    <w:tr2bl w:val="nil"/>
                  </w:tcBorders>
                  <w:vAlign w:val="center"/>
                </w:tcPr>
                <w:p w14:paraId="4F78664E">
                  <w:pPr>
                    <w:keepNext w:val="0"/>
                    <w:keepLines w:val="0"/>
                    <w:pageBreakBefore w:val="0"/>
                    <w:kinsoku/>
                    <w:wordWrap/>
                    <w:overflowPunct/>
                    <w:topLinePunct w:val="0"/>
                    <w:bidi w:val="0"/>
                    <w:spacing w:line="240" w:lineRule="auto"/>
                    <w:ind w:leftChars="0" w:firstLine="0" w:firstLineChars="0"/>
                    <w:jc w:val="center"/>
                    <w:textAlignment w:val="auto"/>
                    <w:rPr>
                      <w:rFonts w:hint="eastAsia" w:eastAsia="宋体"/>
                      <w:color w:val="auto"/>
                      <w:sz w:val="21"/>
                      <w:szCs w:val="21"/>
                      <w:lang w:eastAsia="zh-CN"/>
                    </w:rPr>
                  </w:pPr>
                  <w:r>
                    <w:rPr>
                      <w:rFonts w:hint="eastAsia"/>
                      <w:color w:val="auto"/>
                      <w:sz w:val="21"/>
                      <w:szCs w:val="21"/>
                      <w:lang w:eastAsia="zh-CN"/>
                    </w:rPr>
                    <w:t>空间布局约束</w:t>
                  </w:r>
                </w:p>
              </w:tc>
              <w:tc>
                <w:tcPr>
                  <w:tcW w:w="1801" w:type="pct"/>
                  <w:tcBorders>
                    <w:tl2br w:val="nil"/>
                    <w:tr2bl w:val="nil"/>
                  </w:tcBorders>
                  <w:vAlign w:val="center"/>
                </w:tcPr>
                <w:p w14:paraId="61A4D7A9">
                  <w:pPr>
                    <w:keepNext w:val="0"/>
                    <w:keepLines w:val="0"/>
                    <w:pageBreakBefore w:val="0"/>
                    <w:kinsoku/>
                    <w:wordWrap/>
                    <w:overflowPunct/>
                    <w:topLinePunct w:val="0"/>
                    <w:bidi w:val="0"/>
                    <w:spacing w:line="240" w:lineRule="auto"/>
                    <w:ind w:leftChars="0"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强化江河源头和饮用水水源地保护。加强主要江河源头、重要水源涵养地的水环境保护，划定禁止开发范围。依法划定和保护饮用水水源保护区，加强水土流失和面源污染防治，严格管控入河排污口，严格河道采砂管理，维系江河湖库健康生命</w:t>
                  </w:r>
                </w:p>
              </w:tc>
              <w:tc>
                <w:tcPr>
                  <w:tcW w:w="377" w:type="pct"/>
                  <w:tcBorders>
                    <w:tl2br w:val="nil"/>
                    <w:tr2bl w:val="nil"/>
                  </w:tcBorders>
                  <w:vAlign w:val="center"/>
                </w:tcPr>
                <w:p w14:paraId="340C9212">
                  <w:pPr>
                    <w:keepNext w:val="0"/>
                    <w:keepLines w:val="0"/>
                    <w:pageBreakBefore w:val="0"/>
                    <w:kinsoku/>
                    <w:wordWrap/>
                    <w:overflowPunct/>
                    <w:topLinePunct w:val="0"/>
                    <w:bidi w:val="0"/>
                    <w:spacing w:line="240" w:lineRule="auto"/>
                    <w:ind w:leftChars="0"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3300m</w:t>
                  </w:r>
                  <w:r>
                    <w:rPr>
                      <w:rFonts w:hint="eastAsia"/>
                      <w:color w:val="auto"/>
                      <w:sz w:val="21"/>
                      <w:szCs w:val="21"/>
                      <w:highlight w:val="none"/>
                      <w:vertAlign w:val="superscript"/>
                      <w:lang w:val="en-US" w:eastAsia="zh-CN"/>
                    </w:rPr>
                    <w:t>2</w:t>
                  </w:r>
                  <w:r>
                    <w:rPr>
                      <w:rFonts w:hint="eastAsia"/>
                      <w:color w:val="auto"/>
                      <w:sz w:val="21"/>
                      <w:szCs w:val="21"/>
                      <w:highlight w:val="none"/>
                      <w:lang w:val="en-US" w:eastAsia="zh-CN"/>
                    </w:rPr>
                    <w:t>（总占地面积）</w:t>
                  </w:r>
                </w:p>
              </w:tc>
              <w:tc>
                <w:tcPr>
                  <w:tcW w:w="1033" w:type="pct"/>
                  <w:tcBorders>
                    <w:tl2br w:val="nil"/>
                    <w:tr2bl w:val="nil"/>
                  </w:tcBorders>
                  <w:vAlign w:val="center"/>
                </w:tcPr>
                <w:p w14:paraId="3A6E1558">
                  <w:pPr>
                    <w:pStyle w:val="63"/>
                    <w:keepNext w:val="0"/>
                    <w:keepLines w:val="0"/>
                    <w:pageBreakBefore w:val="0"/>
                    <w:kinsoku/>
                    <w:wordWrap/>
                    <w:overflowPunct/>
                    <w:topLinePunct w:val="0"/>
                    <w:bidi w:val="0"/>
                    <w:snapToGrid w:val="0"/>
                    <w:spacing w:line="240" w:lineRule="auto"/>
                    <w:ind w:leftChars="0" w:firstLine="0" w:firstLineChars="0"/>
                    <w:textAlignment w:val="auto"/>
                    <w:rPr>
                      <w:rFonts w:hint="eastAsia"/>
                      <w:b/>
                      <w:bCs/>
                      <w:color w:val="auto"/>
                      <w:sz w:val="21"/>
                      <w:szCs w:val="21"/>
                      <w:highlight w:val="none"/>
                    </w:rPr>
                  </w:pPr>
                  <w:r>
                    <w:rPr>
                      <w:rFonts w:hint="eastAsia" w:ascii="Times New Roman" w:hAnsi="Times New Roman" w:cs="Times New Roman"/>
                      <w:color w:val="auto"/>
                      <w:sz w:val="21"/>
                      <w:szCs w:val="21"/>
                      <w:highlight w:val="none"/>
                    </w:rPr>
                    <w:t>本项目属于</w:t>
                  </w:r>
                  <w:r>
                    <w:rPr>
                      <w:rFonts w:hint="eastAsia" w:ascii="Times New Roman" w:hAnsi="Times New Roman" w:cs="Times New Roman"/>
                      <w:color w:val="auto"/>
                      <w:sz w:val="21"/>
                      <w:szCs w:val="21"/>
                      <w:highlight w:val="none"/>
                      <w:lang w:val="en-US" w:eastAsia="zh-CN"/>
                    </w:rPr>
                    <w:t>C1519其他酒制造</w:t>
                  </w:r>
                  <w:r>
                    <w:rPr>
                      <w:rFonts w:hint="eastAsia" w:ascii="Times New Roman" w:hAnsi="Times New Roman" w:cs="Times New Roman"/>
                      <w:color w:val="auto"/>
                      <w:sz w:val="21"/>
                      <w:szCs w:val="21"/>
                      <w:highlight w:val="none"/>
                    </w:rPr>
                    <w:t>，</w:t>
                  </w:r>
                  <w:r>
                    <w:rPr>
                      <w:rFonts w:hint="eastAsia" w:ascii="Times New Roman" w:hAnsi="Times New Roman" w:cs="Times New Roman"/>
                      <w:color w:val="FF0000"/>
                      <w:sz w:val="21"/>
                      <w:szCs w:val="21"/>
                      <w:highlight w:val="none"/>
                      <w:lang w:eastAsia="zh-CN"/>
                    </w:rPr>
                    <w:t>项目</w:t>
                  </w:r>
                  <w:r>
                    <w:rPr>
                      <w:rFonts w:hint="eastAsia" w:ascii="Times New Roman" w:hAnsi="Times New Roman" w:cs="Times New Roman"/>
                      <w:color w:val="FF0000"/>
                      <w:sz w:val="21"/>
                      <w:szCs w:val="21"/>
                      <w:highlight w:val="none"/>
                    </w:rPr>
                    <w:t>所在地</w:t>
                  </w:r>
                  <w:r>
                    <w:rPr>
                      <w:rFonts w:hint="eastAsia" w:ascii="Times New Roman" w:hAnsi="Times New Roman" w:cs="Times New Roman"/>
                      <w:color w:val="FF0000"/>
                      <w:sz w:val="21"/>
                      <w:szCs w:val="21"/>
                      <w:highlight w:val="none"/>
                      <w:lang w:eastAsia="zh-CN"/>
                    </w:rPr>
                    <w:t>位于</w:t>
                  </w:r>
                  <w:r>
                    <w:rPr>
                      <w:rFonts w:hint="eastAsia" w:ascii="Times New Roman" w:hAnsi="Times New Roman" w:cs="Times New Roman"/>
                      <w:b w:val="0"/>
                      <w:bCs w:val="0"/>
                      <w:color w:val="FF0000"/>
                      <w:sz w:val="21"/>
                      <w:szCs w:val="21"/>
                      <w:lang w:eastAsia="zh-CN"/>
                    </w:rPr>
                    <w:t>引汉济渭水源地准保护区，为水源涵养与生态缓冲带；</w:t>
                  </w:r>
                  <w:r>
                    <w:rPr>
                      <w:rFonts w:hint="eastAsia" w:ascii="Times New Roman" w:hAnsi="Times New Roman" w:cs="Times New Roman"/>
                      <w:color w:val="FF0000"/>
                      <w:sz w:val="21"/>
                      <w:szCs w:val="21"/>
                      <w:highlight w:val="none"/>
                    </w:rPr>
                    <w:t>不在禁止开发范和围内。项目生产废水</w:t>
                  </w:r>
                  <w:r>
                    <w:rPr>
                      <w:rFonts w:hint="eastAsia" w:ascii="Times New Roman" w:hAnsi="Times New Roman" w:cs="Times New Roman"/>
                      <w:color w:val="FF0000"/>
                      <w:sz w:val="21"/>
                      <w:szCs w:val="21"/>
                      <w:highlight w:val="none"/>
                      <w:lang w:eastAsia="zh-CN"/>
                    </w:rPr>
                    <w:t>包括设备清洗废水、</w:t>
                  </w:r>
                  <w:r>
                    <w:rPr>
                      <w:rFonts w:hint="eastAsia" w:ascii="Times New Roman" w:hAnsi="Times New Roman" w:cs="Times New Roman"/>
                      <w:color w:val="FF0000"/>
                      <w:sz w:val="21"/>
                      <w:szCs w:val="21"/>
                      <w:highlight w:val="none"/>
                      <w:lang w:val="en-US" w:eastAsia="zh-CN"/>
                    </w:rPr>
                    <w:t>空瓶清洗废水、试验废液、试验仪器清洗废水和纯水制备浓水。废水产生量小，设备清洗废水、试验仪器清洗废水、空瓶清洗废水和纯水制备浓水经废水收集桶收集委托检测单位检测合格，符合佛坪县污水处理厂进水水质要求后，通过罐车拉运至佛坪县污水处理厂处理；剩余少量纯水制备浓水经废水收集桶收集后用于冲厕。</w:t>
                  </w:r>
                  <w:r>
                    <w:rPr>
                      <w:rFonts w:hint="eastAsia" w:ascii="Times New Roman" w:hAnsi="Times New Roman" w:cs="Times New Roman"/>
                      <w:color w:val="auto"/>
                      <w:sz w:val="21"/>
                      <w:szCs w:val="21"/>
                      <w:highlight w:val="none"/>
                      <w:lang w:val="en-US" w:eastAsia="zh-CN"/>
                    </w:rPr>
                    <w:t>项目化验过程产生的试验废液属于危险废物，该部分废液</w:t>
                  </w:r>
                  <w:r>
                    <w:rPr>
                      <w:rFonts w:hint="default" w:ascii="Times New Roman" w:hAnsi="Times New Roman" w:eastAsia="宋体" w:cs="Times New Roman"/>
                      <w:b w:val="0"/>
                      <w:bCs w:val="0"/>
                      <w:color w:val="auto"/>
                      <w:sz w:val="21"/>
                      <w:szCs w:val="21"/>
                      <w:highlight w:val="none"/>
                    </w:rPr>
                    <w:t>采用密闭周转桶、防渗托盘，</w:t>
                  </w:r>
                  <w:r>
                    <w:rPr>
                      <w:rFonts w:hint="eastAsia" w:ascii="Times New Roman" w:hAnsi="Times New Roman" w:cs="Times New Roman"/>
                      <w:b w:val="0"/>
                      <w:bCs w:val="0"/>
                      <w:color w:val="auto"/>
                      <w:sz w:val="21"/>
                      <w:szCs w:val="21"/>
                      <w:highlight w:val="none"/>
                      <w:lang w:eastAsia="zh-CN"/>
                    </w:rPr>
                    <w:t>产生后及时</w:t>
                  </w:r>
                  <w:r>
                    <w:rPr>
                      <w:rFonts w:hint="default" w:ascii="Times New Roman" w:hAnsi="Times New Roman" w:eastAsia="宋体" w:cs="Times New Roman"/>
                      <w:b w:val="0"/>
                      <w:bCs w:val="0"/>
                      <w:color w:val="auto"/>
                      <w:sz w:val="21"/>
                      <w:szCs w:val="21"/>
                      <w:highlight w:val="none"/>
                    </w:rPr>
                    <w:t>委托有资质单位转运处置，不得</w:t>
                  </w:r>
                  <w:r>
                    <w:rPr>
                      <w:rFonts w:hint="eastAsia" w:ascii="Times New Roman" w:hAnsi="Times New Roman" w:cs="Times New Roman"/>
                      <w:b w:val="0"/>
                      <w:bCs w:val="0"/>
                      <w:color w:val="auto"/>
                      <w:sz w:val="21"/>
                      <w:szCs w:val="21"/>
                      <w:highlight w:val="none"/>
                      <w:lang w:eastAsia="zh-CN"/>
                    </w:rPr>
                    <w:t>在厂</w:t>
                  </w:r>
                  <w:r>
                    <w:rPr>
                      <w:rFonts w:hint="default" w:ascii="Times New Roman" w:hAnsi="Times New Roman" w:eastAsia="宋体" w:cs="Times New Roman"/>
                      <w:b w:val="0"/>
                      <w:bCs w:val="0"/>
                      <w:color w:val="auto"/>
                      <w:sz w:val="21"/>
                      <w:szCs w:val="21"/>
                      <w:highlight w:val="none"/>
                    </w:rPr>
                    <w:t>内长期暂存</w:t>
                  </w:r>
                  <w:r>
                    <w:rPr>
                      <w:rFonts w:hint="eastAsia" w:ascii="Times New Roman" w:hAnsi="Times New Roman" w:cs="Times New Roman"/>
                      <w:color w:val="auto"/>
                      <w:sz w:val="21"/>
                      <w:szCs w:val="21"/>
                      <w:highlight w:val="none"/>
                      <w:lang w:val="en-US" w:eastAsia="zh-CN"/>
                    </w:rPr>
                    <w:t>。</w:t>
                  </w:r>
                  <w:r>
                    <w:rPr>
                      <w:rFonts w:hint="eastAsia" w:ascii="Times New Roman" w:hAnsi="Times New Roman" w:cs="Times New Roman"/>
                      <w:color w:val="auto"/>
                      <w:sz w:val="21"/>
                      <w:szCs w:val="21"/>
                      <w:highlight w:val="none"/>
                    </w:rPr>
                    <w:t>不设置入河排放口。</w:t>
                  </w:r>
                </w:p>
              </w:tc>
              <w:tc>
                <w:tcPr>
                  <w:tcW w:w="134" w:type="pct"/>
                  <w:tcBorders>
                    <w:tl2br w:val="nil"/>
                    <w:tr2bl w:val="nil"/>
                  </w:tcBorders>
                  <w:vAlign w:val="center"/>
                </w:tcPr>
                <w:p w14:paraId="1F634F6F">
                  <w:pPr>
                    <w:keepNext w:val="0"/>
                    <w:keepLines w:val="0"/>
                    <w:pageBreakBefore w:val="0"/>
                    <w:kinsoku/>
                    <w:wordWrap/>
                    <w:overflowPunct/>
                    <w:topLinePunct w:val="0"/>
                    <w:bidi w:val="0"/>
                    <w:spacing w:line="240" w:lineRule="auto"/>
                    <w:ind w:leftChars="0" w:firstLine="0" w:firstLineChars="0"/>
                    <w:jc w:val="center"/>
                    <w:textAlignment w:val="auto"/>
                    <w:rPr>
                      <w:rFonts w:hint="eastAsia"/>
                      <w:b/>
                      <w:bCs/>
                      <w:color w:val="auto"/>
                      <w:sz w:val="21"/>
                      <w:szCs w:val="21"/>
                    </w:rPr>
                  </w:pPr>
                  <w:r>
                    <w:rPr>
                      <w:rFonts w:hint="eastAsia"/>
                      <w:color w:val="auto"/>
                      <w:sz w:val="21"/>
                      <w:szCs w:val="21"/>
                    </w:rPr>
                    <w:t>符合</w:t>
                  </w:r>
                </w:p>
              </w:tc>
            </w:tr>
          </w:tbl>
          <w:p w14:paraId="57070B1B">
            <w:pPr>
              <w:spacing w:line="360" w:lineRule="auto"/>
              <w:ind w:firstLine="482" w:firstLineChars="200"/>
              <w:contextualSpacing/>
              <w:rPr>
                <w:color w:val="auto"/>
                <w:kern w:val="0"/>
                <w:sz w:val="24"/>
              </w:rPr>
            </w:pPr>
            <w:r>
              <w:rPr>
                <w:rFonts w:hint="eastAsia"/>
                <w:b/>
                <w:bCs/>
                <w:color w:val="auto"/>
                <w:kern w:val="0"/>
                <w:sz w:val="24"/>
              </w:rPr>
              <w:t>（3）“一说明”</w:t>
            </w:r>
          </w:p>
          <w:p w14:paraId="3801F7E4">
            <w:pPr>
              <w:spacing w:line="360" w:lineRule="auto"/>
              <w:ind w:firstLine="480" w:firstLineChars="200"/>
              <w:contextualSpacing/>
              <w:rPr>
                <w:color w:val="auto"/>
                <w:kern w:val="0"/>
                <w:sz w:val="24"/>
              </w:rPr>
            </w:pPr>
            <w:r>
              <w:rPr>
                <w:rFonts w:hint="eastAsia"/>
                <w:color w:val="auto"/>
                <w:kern w:val="0"/>
                <w:sz w:val="24"/>
              </w:rPr>
              <w:t>综上所述，本项目涉及</w:t>
            </w:r>
            <w:r>
              <w:rPr>
                <w:rFonts w:hint="eastAsia"/>
                <w:color w:val="auto"/>
                <w:kern w:val="0"/>
                <w:sz w:val="24"/>
                <w:highlight w:val="none"/>
                <w:lang w:eastAsia="zh-CN"/>
              </w:rPr>
              <w:t>优先保护单元</w:t>
            </w:r>
            <w:r>
              <w:rPr>
                <w:rFonts w:hint="eastAsia"/>
                <w:color w:val="auto"/>
                <w:kern w:val="0"/>
                <w:sz w:val="24"/>
                <w:highlight w:val="none"/>
              </w:rPr>
              <w:t>，不涉</w:t>
            </w:r>
            <w:r>
              <w:rPr>
                <w:rFonts w:hint="eastAsia"/>
                <w:color w:val="auto"/>
                <w:kern w:val="0"/>
                <w:sz w:val="24"/>
              </w:rPr>
              <w:t>及</w:t>
            </w:r>
            <w:r>
              <w:rPr>
                <w:rFonts w:hint="eastAsia"/>
                <w:color w:val="auto"/>
                <w:kern w:val="0"/>
                <w:sz w:val="24"/>
                <w:lang w:eastAsia="zh-CN"/>
              </w:rPr>
              <w:t>汉中</w:t>
            </w:r>
            <w:r>
              <w:rPr>
                <w:rFonts w:hint="eastAsia"/>
                <w:color w:val="auto"/>
                <w:kern w:val="0"/>
                <w:sz w:val="24"/>
              </w:rPr>
              <w:t>市生态保护红线，符合</w:t>
            </w:r>
            <w:r>
              <w:rPr>
                <w:rFonts w:hint="eastAsia"/>
                <w:color w:val="auto"/>
                <w:kern w:val="0"/>
                <w:sz w:val="24"/>
                <w:lang w:eastAsia="zh-CN"/>
              </w:rPr>
              <w:t>汉中</w:t>
            </w:r>
            <w:r>
              <w:rPr>
                <w:rFonts w:hint="eastAsia"/>
                <w:color w:val="auto"/>
                <w:kern w:val="0"/>
                <w:sz w:val="24"/>
              </w:rPr>
              <w:t>市“三线一单”生态环境分区管控要求。</w:t>
            </w:r>
          </w:p>
          <w:p w14:paraId="6C0D9E85">
            <w:pPr>
              <w:pStyle w:val="4"/>
              <w:keepNext w:val="0"/>
              <w:keepLines w:val="0"/>
              <w:pageBreakBefore w:val="0"/>
              <w:widowControl w:val="0"/>
              <w:kinsoku/>
              <w:wordWrap/>
              <w:overflowPunct/>
              <w:topLinePunct w:val="0"/>
              <w:autoSpaceDE/>
              <w:autoSpaceDN/>
              <w:bidi w:val="0"/>
              <w:spacing w:after="0" w:line="360" w:lineRule="auto"/>
              <w:ind w:left="0" w:leftChars="0" w:firstLine="0"/>
              <w:textAlignment w:val="auto"/>
              <w:rPr>
                <w:rFonts w:ascii="Times New Roman" w:hAnsi="Times New Roman" w:eastAsia="宋体"/>
                <w:b/>
                <w:color w:val="auto"/>
                <w:sz w:val="24"/>
                <w:szCs w:val="24"/>
                <w:highlight w:val="none"/>
              </w:rPr>
            </w:pPr>
            <w:r>
              <w:rPr>
                <w:rFonts w:hint="eastAsia" w:ascii="Times New Roman" w:hAnsi="Times New Roman" w:eastAsia="宋体"/>
                <w:b/>
                <w:color w:val="auto"/>
                <w:sz w:val="24"/>
                <w:szCs w:val="24"/>
                <w:highlight w:val="none"/>
                <w:lang w:val="en-US" w:eastAsia="zh-CN"/>
              </w:rPr>
              <w:t>1.4</w:t>
            </w:r>
            <w:r>
              <w:rPr>
                <w:rFonts w:hint="eastAsia" w:ascii="Times New Roman" w:hAnsi="Times New Roman" w:eastAsia="宋体"/>
                <w:b/>
                <w:color w:val="auto"/>
                <w:sz w:val="24"/>
                <w:szCs w:val="24"/>
                <w:highlight w:val="none"/>
              </w:rPr>
              <w:t>与相关生态环境保护法律法规</w:t>
            </w:r>
            <w:r>
              <w:rPr>
                <w:rFonts w:hint="eastAsia"/>
                <w:b/>
                <w:color w:val="auto"/>
                <w:sz w:val="24"/>
                <w:szCs w:val="24"/>
                <w:highlight w:val="none"/>
                <w:lang w:eastAsia="zh-CN"/>
              </w:rPr>
              <w:t>、</w:t>
            </w:r>
            <w:r>
              <w:rPr>
                <w:rFonts w:hint="eastAsia" w:ascii="Times New Roman" w:hAnsi="Times New Roman" w:eastAsia="宋体"/>
                <w:b/>
                <w:color w:val="auto"/>
                <w:sz w:val="24"/>
                <w:szCs w:val="24"/>
                <w:highlight w:val="none"/>
              </w:rPr>
              <w:t>政策、生态环境保护规划的符合性</w:t>
            </w:r>
            <w:r>
              <w:rPr>
                <w:rFonts w:ascii="Times New Roman" w:hAnsi="Times New Roman" w:eastAsia="宋体"/>
                <w:b/>
                <w:color w:val="auto"/>
                <w:sz w:val="24"/>
                <w:szCs w:val="24"/>
                <w:highlight w:val="none"/>
              </w:rPr>
              <w:t>分析</w:t>
            </w:r>
          </w:p>
          <w:p w14:paraId="7FEB6EF5">
            <w:pPr>
              <w:keepNext w:val="0"/>
              <w:keepLines w:val="0"/>
              <w:pageBreakBefore w:val="0"/>
              <w:widowControl w:val="0"/>
              <w:kinsoku/>
              <w:wordWrap/>
              <w:overflowPunct/>
              <w:topLinePunct w:val="0"/>
              <w:autoSpaceDE/>
              <w:autoSpaceDN/>
              <w:bidi w:val="0"/>
              <w:spacing w:line="360" w:lineRule="auto"/>
              <w:ind w:firstLine="480" w:firstLineChars="200"/>
              <w:textAlignment w:val="auto"/>
              <w:rPr>
                <w:color w:val="auto"/>
                <w:sz w:val="24"/>
              </w:rPr>
            </w:pPr>
            <w:r>
              <w:rPr>
                <w:color w:val="auto"/>
                <w:sz w:val="24"/>
              </w:rPr>
              <w:t>本项目与</w:t>
            </w:r>
            <w:r>
              <w:rPr>
                <w:rFonts w:hint="eastAsia"/>
                <w:color w:val="auto"/>
                <w:sz w:val="24"/>
              </w:rPr>
              <w:t>其他相关</w:t>
            </w:r>
            <w:r>
              <w:rPr>
                <w:color w:val="auto"/>
                <w:sz w:val="24"/>
              </w:rPr>
              <w:t>环境</w:t>
            </w:r>
          </w:p>
          <w:p w14:paraId="0CF1927D">
            <w:pPr>
              <w:keepNext w:val="0"/>
              <w:keepLines w:val="0"/>
              <w:pageBreakBefore w:val="0"/>
              <w:widowControl w:val="0"/>
              <w:kinsoku/>
              <w:wordWrap/>
              <w:overflowPunct/>
              <w:topLinePunct w:val="0"/>
              <w:autoSpaceDE/>
              <w:autoSpaceDN/>
              <w:bidi w:val="0"/>
              <w:spacing w:line="360" w:lineRule="auto"/>
              <w:ind w:firstLine="480" w:firstLineChars="200"/>
              <w:textAlignment w:val="auto"/>
              <w:rPr>
                <w:b/>
                <w:bCs/>
                <w:color w:val="auto"/>
                <w:sz w:val="21"/>
                <w:szCs w:val="21"/>
              </w:rPr>
            </w:pPr>
            <w:r>
              <w:rPr>
                <w:color w:val="auto"/>
                <w:sz w:val="24"/>
              </w:rPr>
              <w:t>管理政策</w:t>
            </w:r>
            <w:r>
              <w:rPr>
                <w:rFonts w:hint="eastAsia"/>
                <w:color w:val="auto"/>
                <w:sz w:val="24"/>
              </w:rPr>
              <w:t>、文件的符合性</w:t>
            </w:r>
            <w:r>
              <w:rPr>
                <w:color w:val="auto"/>
                <w:sz w:val="24"/>
              </w:rPr>
              <w:t>分析见表</w:t>
            </w:r>
            <w:r>
              <w:rPr>
                <w:rFonts w:hint="eastAsia"/>
                <w:color w:val="auto"/>
                <w:sz w:val="24"/>
              </w:rPr>
              <w:t>1-4</w:t>
            </w:r>
            <w:r>
              <w:rPr>
                <w:color w:val="auto"/>
                <w:sz w:val="24"/>
              </w:rPr>
              <w:t>。</w:t>
            </w:r>
          </w:p>
          <w:p w14:paraId="773B46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p>
          <w:p w14:paraId="02530F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b/>
                <w:bCs/>
                <w:color w:val="auto"/>
                <w:sz w:val="21"/>
                <w:szCs w:val="21"/>
              </w:rPr>
              <w:t>表</w:t>
            </w:r>
            <w:r>
              <w:rPr>
                <w:rFonts w:hint="eastAsia"/>
                <w:b/>
                <w:bCs/>
                <w:color w:val="auto"/>
                <w:sz w:val="21"/>
                <w:szCs w:val="21"/>
              </w:rPr>
              <w:t>1-4本</w:t>
            </w:r>
            <w:r>
              <w:rPr>
                <w:b/>
                <w:bCs/>
                <w:color w:val="auto"/>
                <w:sz w:val="21"/>
                <w:szCs w:val="21"/>
              </w:rPr>
              <w:t>项目与其他相关政策</w:t>
            </w:r>
            <w:r>
              <w:rPr>
                <w:rFonts w:hint="eastAsia"/>
                <w:b/>
                <w:bCs/>
                <w:color w:val="auto"/>
                <w:sz w:val="21"/>
                <w:szCs w:val="21"/>
              </w:rPr>
              <w:t>、文件</w:t>
            </w:r>
            <w:r>
              <w:rPr>
                <w:b/>
                <w:bCs/>
                <w:color w:val="auto"/>
                <w:sz w:val="21"/>
                <w:szCs w:val="21"/>
              </w:rPr>
              <w:t>符合性分析</w:t>
            </w:r>
          </w:p>
          <w:tbl>
            <w:tblPr>
              <w:tblStyle w:val="26"/>
              <w:tblW w:w="1425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42"/>
              <w:gridCol w:w="6201"/>
              <w:gridCol w:w="4840"/>
              <w:gridCol w:w="867"/>
            </w:tblGrid>
            <w:tr w14:paraId="641DAB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21" w:type="pct"/>
                  <w:tcBorders>
                    <w:tl2br w:val="nil"/>
                    <w:tr2bl w:val="nil"/>
                  </w:tcBorders>
                  <w:vAlign w:val="center"/>
                </w:tcPr>
                <w:p w14:paraId="0FDEB75D">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名称</w:t>
                  </w:r>
                </w:p>
              </w:tc>
              <w:tc>
                <w:tcPr>
                  <w:tcW w:w="2175" w:type="pct"/>
                  <w:tcBorders>
                    <w:tl2br w:val="nil"/>
                    <w:tr2bl w:val="nil"/>
                  </w:tcBorders>
                  <w:vAlign w:val="center"/>
                </w:tcPr>
                <w:p w14:paraId="51361571">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相关要求</w:t>
                  </w:r>
                </w:p>
              </w:tc>
              <w:tc>
                <w:tcPr>
                  <w:tcW w:w="1698" w:type="pct"/>
                  <w:tcBorders>
                    <w:tl2br w:val="nil"/>
                    <w:tr2bl w:val="nil"/>
                  </w:tcBorders>
                  <w:vAlign w:val="center"/>
                </w:tcPr>
                <w:p w14:paraId="2E29E971">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本项目情况</w:t>
                  </w:r>
                </w:p>
              </w:tc>
              <w:tc>
                <w:tcPr>
                  <w:tcW w:w="304" w:type="pct"/>
                  <w:tcBorders>
                    <w:tl2br w:val="nil"/>
                    <w:tr2bl w:val="nil"/>
                  </w:tcBorders>
                  <w:vAlign w:val="center"/>
                </w:tcPr>
                <w:p w14:paraId="6F8A16FC">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符合性</w:t>
                  </w:r>
                </w:p>
              </w:tc>
            </w:tr>
            <w:tr w14:paraId="2CEED7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21" w:type="pct"/>
                  <w:vMerge w:val="restart"/>
                  <w:tcBorders>
                    <w:tl2br w:val="nil"/>
                    <w:tr2bl w:val="nil"/>
                  </w:tcBorders>
                  <w:vAlign w:val="center"/>
                </w:tcPr>
                <w:p w14:paraId="1610F3E9">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sz w:val="21"/>
                      <w:szCs w:val="21"/>
                      <w:lang w:eastAsia="zh-CN"/>
                    </w:rPr>
                  </w:pPr>
                  <w:r>
                    <w:rPr>
                      <w:rFonts w:hint="eastAsia" w:ascii="Times New Roman" w:hAnsi="Times New Roman" w:cs="Times New Roman"/>
                      <w:b w:val="0"/>
                      <w:bCs w:val="0"/>
                      <w:color w:val="FF0000"/>
                      <w:sz w:val="21"/>
                      <w:szCs w:val="21"/>
                      <w:lang w:eastAsia="zh-CN"/>
                    </w:rPr>
                    <w:t>《中华人民共和国水污染防治法》</w:t>
                  </w:r>
                </w:p>
              </w:tc>
              <w:tc>
                <w:tcPr>
                  <w:tcW w:w="2175" w:type="pct"/>
                  <w:tcBorders>
                    <w:tl2br w:val="nil"/>
                    <w:tr2bl w:val="nil"/>
                  </w:tcBorders>
                  <w:vAlign w:val="center"/>
                </w:tcPr>
                <w:p w14:paraId="04202BCD">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sz w:val="21"/>
                      <w:szCs w:val="21"/>
                      <w:lang w:val="en-US" w:eastAsia="zh-CN"/>
                    </w:rPr>
                  </w:pPr>
                  <w:r>
                    <w:rPr>
                      <w:rFonts w:hint="eastAsia" w:ascii="Times New Roman" w:hAnsi="Times New Roman" w:cs="Times New Roman"/>
                      <w:b w:val="0"/>
                      <w:bCs w:val="0"/>
                      <w:color w:val="FF0000"/>
                      <w:sz w:val="21"/>
                      <w:szCs w:val="21"/>
                      <w:lang w:eastAsia="zh-CN"/>
                    </w:rPr>
                    <w:t>第四十五条</w:t>
                  </w:r>
                  <w:r>
                    <w:rPr>
                      <w:rFonts w:hint="eastAsia" w:ascii="Times New Roman" w:hAnsi="Times New Roman" w:cs="Times New Roman"/>
                      <w:b w:val="0"/>
                      <w:bCs w:val="0"/>
                      <w:color w:val="FF0000"/>
                      <w:sz w:val="21"/>
                      <w:szCs w:val="21"/>
                      <w:lang w:val="en-US" w:eastAsia="zh-CN"/>
                    </w:rPr>
                    <w:t xml:space="preserve"> 排放工业废水的企业应当采取有效措施，收集和处理产生的全部废水，防止污染环境。含有毒有害水污染物的工业废水应当分类收集和处理，不得稀释排放。</w:t>
                  </w:r>
                </w:p>
              </w:tc>
              <w:tc>
                <w:tcPr>
                  <w:tcW w:w="1698" w:type="pct"/>
                  <w:tcBorders>
                    <w:tl2br w:val="nil"/>
                    <w:tr2bl w:val="nil"/>
                  </w:tcBorders>
                  <w:vAlign w:val="center"/>
                </w:tcPr>
                <w:p w14:paraId="7200CF60">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FF0000"/>
                      <w:sz w:val="21"/>
                      <w:szCs w:val="21"/>
                      <w:lang w:eastAsia="zh-CN"/>
                    </w:rPr>
                  </w:pPr>
                  <w:r>
                    <w:rPr>
                      <w:rFonts w:hint="eastAsia" w:ascii="Times New Roman" w:hAnsi="Times New Roman" w:cs="Times New Roman"/>
                      <w:color w:val="FF0000"/>
                      <w:sz w:val="21"/>
                      <w:szCs w:val="21"/>
                    </w:rPr>
                    <w:t>本项目属于</w:t>
                  </w:r>
                  <w:r>
                    <w:rPr>
                      <w:rFonts w:hint="eastAsia" w:ascii="Times New Roman" w:hAnsi="Times New Roman" w:cs="Times New Roman"/>
                      <w:color w:val="FF0000"/>
                      <w:sz w:val="21"/>
                      <w:szCs w:val="21"/>
                      <w:lang w:val="en-US" w:eastAsia="zh-CN"/>
                    </w:rPr>
                    <w:t>C1519其他酒制造，</w:t>
                  </w:r>
                  <w:r>
                    <w:rPr>
                      <w:rFonts w:hint="eastAsia" w:ascii="Times New Roman" w:hAnsi="Times New Roman" w:cs="Times New Roman"/>
                      <w:color w:val="FF0000"/>
                      <w:sz w:val="21"/>
                      <w:szCs w:val="21"/>
                      <w:highlight w:val="none"/>
                      <w:lang w:val="en-US" w:eastAsia="zh-CN"/>
                    </w:rPr>
                    <w:t>废水产生量小，设备清洗废水、试验仪器清洗废水、空瓶清洗废水和纯水制备浓水经废水收集桶收集委托检测单位检测合格，符合佛坪县污水处理厂进水水质要求后，通过罐车拉运至佛坪县污水处理厂处理；剩余少量纯水制备浓水经废水收集桶收集后用于冲厕；</w:t>
                  </w:r>
                  <w:r>
                    <w:rPr>
                      <w:rFonts w:hint="eastAsia"/>
                      <w:color w:val="FF0000"/>
                      <w:kern w:val="2"/>
                      <w:sz w:val="21"/>
                      <w:szCs w:val="21"/>
                      <w:highlight w:val="none"/>
                    </w:rPr>
                    <w:t>生活污水依托</w:t>
                  </w:r>
                  <w:r>
                    <w:rPr>
                      <w:rFonts w:hint="eastAsia"/>
                      <w:color w:val="FF0000"/>
                      <w:kern w:val="2"/>
                      <w:sz w:val="21"/>
                      <w:szCs w:val="21"/>
                      <w:highlight w:val="none"/>
                      <w:lang w:eastAsia="zh-CN"/>
                    </w:rPr>
                    <w:t>已建</w:t>
                  </w:r>
                  <w:r>
                    <w:rPr>
                      <w:rFonts w:hint="eastAsia"/>
                      <w:color w:val="FF0000"/>
                      <w:kern w:val="2"/>
                      <w:sz w:val="21"/>
                      <w:szCs w:val="21"/>
                      <w:highlight w:val="none"/>
                    </w:rPr>
                    <w:t>化粪池（</w:t>
                  </w:r>
                  <w:r>
                    <w:rPr>
                      <w:rFonts w:ascii="Times New Roman" w:hAnsi="Times New Roman"/>
                      <w:color w:val="FF0000"/>
                      <w:kern w:val="2"/>
                      <w:sz w:val="21"/>
                      <w:szCs w:val="21"/>
                      <w:highlight w:val="none"/>
                    </w:rPr>
                    <w:t>2</w:t>
                  </w:r>
                  <w:r>
                    <w:rPr>
                      <w:rFonts w:hint="eastAsia" w:ascii="Times New Roman" w:hAnsi="Times New Roman"/>
                      <w:color w:val="FF0000"/>
                      <w:kern w:val="2"/>
                      <w:sz w:val="21"/>
                      <w:szCs w:val="21"/>
                      <w:highlight w:val="none"/>
                    </w:rPr>
                    <w:t>0m</w:t>
                  </w:r>
                  <w:r>
                    <w:rPr>
                      <w:rFonts w:hint="eastAsia" w:ascii="Times New Roman" w:hAnsi="Times New Roman"/>
                      <w:color w:val="FF0000"/>
                      <w:kern w:val="2"/>
                      <w:sz w:val="21"/>
                      <w:szCs w:val="21"/>
                      <w:highlight w:val="none"/>
                      <w:vertAlign w:val="superscript"/>
                    </w:rPr>
                    <w:t>3</w:t>
                  </w:r>
                  <w:r>
                    <w:rPr>
                      <w:rFonts w:hint="eastAsia"/>
                      <w:color w:val="FF0000"/>
                      <w:kern w:val="2"/>
                      <w:sz w:val="21"/>
                      <w:szCs w:val="21"/>
                      <w:highlight w:val="none"/>
                    </w:rPr>
                    <w:t>）预处理后，由市政</w:t>
                  </w:r>
                  <w:r>
                    <w:rPr>
                      <w:rFonts w:hint="eastAsia"/>
                      <w:color w:val="FF0000"/>
                      <w:kern w:val="2"/>
                      <w:sz w:val="21"/>
                      <w:szCs w:val="21"/>
                      <w:highlight w:val="none"/>
                      <w:lang w:eastAsia="zh-CN"/>
                    </w:rPr>
                    <w:t>污水</w:t>
                  </w:r>
                  <w:r>
                    <w:rPr>
                      <w:rFonts w:hint="eastAsia"/>
                      <w:color w:val="FF0000"/>
                      <w:kern w:val="2"/>
                      <w:sz w:val="21"/>
                      <w:szCs w:val="21"/>
                      <w:highlight w:val="none"/>
                    </w:rPr>
                    <w:t>管网排入</w:t>
                  </w:r>
                  <w:r>
                    <w:rPr>
                      <w:rFonts w:hint="eastAsia"/>
                      <w:color w:val="FF0000"/>
                      <w:kern w:val="2"/>
                      <w:sz w:val="21"/>
                      <w:szCs w:val="21"/>
                      <w:highlight w:val="none"/>
                      <w:lang w:eastAsia="zh-CN"/>
                    </w:rPr>
                    <w:t>佛坪县</w:t>
                  </w:r>
                  <w:r>
                    <w:rPr>
                      <w:rFonts w:hint="eastAsia"/>
                      <w:color w:val="FF0000"/>
                      <w:kern w:val="2"/>
                      <w:sz w:val="21"/>
                      <w:szCs w:val="21"/>
                      <w:highlight w:val="none"/>
                    </w:rPr>
                    <w:t>污水处理厂处理</w:t>
                  </w:r>
                  <w:r>
                    <w:rPr>
                      <w:rFonts w:hint="eastAsia"/>
                      <w:color w:val="FF0000"/>
                      <w:kern w:val="2"/>
                      <w:sz w:val="21"/>
                      <w:szCs w:val="21"/>
                      <w:highlight w:val="none"/>
                      <w:lang w:eastAsia="zh-CN"/>
                    </w:rPr>
                    <w:t>。</w:t>
                  </w:r>
                  <w:r>
                    <w:rPr>
                      <w:rFonts w:hint="eastAsia" w:ascii="Times New Roman" w:hAnsi="Times New Roman" w:cs="Times New Roman"/>
                      <w:color w:val="FF0000"/>
                      <w:sz w:val="21"/>
                      <w:szCs w:val="21"/>
                      <w:highlight w:val="none"/>
                      <w:lang w:val="en-US" w:eastAsia="zh-CN"/>
                    </w:rPr>
                    <w:t>不存在</w:t>
                  </w:r>
                  <w:r>
                    <w:rPr>
                      <w:rFonts w:hint="eastAsia" w:ascii="Times New Roman" w:hAnsi="Times New Roman" w:cs="Times New Roman"/>
                      <w:b w:val="0"/>
                      <w:bCs w:val="0"/>
                      <w:color w:val="FF0000"/>
                      <w:sz w:val="21"/>
                      <w:szCs w:val="21"/>
                      <w:lang w:val="en-US" w:eastAsia="zh-CN"/>
                    </w:rPr>
                    <w:t>含有毒有害水污染物的工业废水。</w:t>
                  </w:r>
                </w:p>
              </w:tc>
              <w:tc>
                <w:tcPr>
                  <w:tcW w:w="304" w:type="pct"/>
                  <w:tcBorders>
                    <w:tl2br w:val="nil"/>
                    <w:tr2bl w:val="nil"/>
                  </w:tcBorders>
                  <w:vAlign w:val="center"/>
                </w:tcPr>
                <w:p w14:paraId="17C7212C">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FF0000"/>
                      <w:sz w:val="21"/>
                      <w:szCs w:val="21"/>
                      <w:lang w:eastAsia="zh-CN"/>
                    </w:rPr>
                  </w:pPr>
                  <w:r>
                    <w:rPr>
                      <w:rFonts w:hint="eastAsia" w:ascii="Times New Roman" w:hAnsi="Times New Roman" w:cs="Times New Roman"/>
                      <w:b/>
                      <w:bCs/>
                      <w:color w:val="FF0000"/>
                      <w:sz w:val="21"/>
                      <w:szCs w:val="21"/>
                      <w:lang w:eastAsia="zh-CN"/>
                    </w:rPr>
                    <w:t>符合</w:t>
                  </w:r>
                </w:p>
              </w:tc>
            </w:tr>
            <w:tr w14:paraId="793F1A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21" w:type="pct"/>
                  <w:vMerge w:val="continue"/>
                  <w:tcBorders>
                    <w:tl2br w:val="nil"/>
                    <w:tr2bl w:val="nil"/>
                  </w:tcBorders>
                  <w:vAlign w:val="center"/>
                </w:tcPr>
                <w:p w14:paraId="77F25F92">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FF0000"/>
                      <w:sz w:val="21"/>
                      <w:szCs w:val="21"/>
                      <w:lang w:eastAsia="zh-CN"/>
                    </w:rPr>
                  </w:pPr>
                </w:p>
              </w:tc>
              <w:tc>
                <w:tcPr>
                  <w:tcW w:w="2175" w:type="pct"/>
                  <w:tcBorders>
                    <w:tl2br w:val="nil"/>
                    <w:tr2bl w:val="nil"/>
                  </w:tcBorders>
                  <w:vAlign w:val="center"/>
                </w:tcPr>
                <w:p w14:paraId="37978820">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FF0000"/>
                      <w:sz w:val="21"/>
                      <w:szCs w:val="21"/>
                      <w:lang w:eastAsia="zh-CN"/>
                    </w:rPr>
                  </w:pPr>
                  <w:r>
                    <w:rPr>
                      <w:rFonts w:hint="eastAsia" w:ascii="Times New Roman" w:hAnsi="Times New Roman" w:cs="Times New Roman"/>
                      <w:b w:val="0"/>
                      <w:bCs w:val="0"/>
                      <w:color w:val="FF0000"/>
                      <w:sz w:val="21"/>
                      <w:szCs w:val="21"/>
                      <w:lang w:eastAsia="zh-CN"/>
                    </w:rPr>
                    <w:t>第六十七条 禁止在饮用水水源准保护区内新建、扩建对水体污染严重的建设项目；改建建设项目，不得增加排污量。</w:t>
                  </w:r>
                </w:p>
              </w:tc>
              <w:tc>
                <w:tcPr>
                  <w:tcW w:w="1698" w:type="pct"/>
                  <w:tcBorders>
                    <w:tl2br w:val="nil"/>
                    <w:tr2bl w:val="nil"/>
                  </w:tcBorders>
                  <w:vAlign w:val="center"/>
                </w:tcPr>
                <w:p w14:paraId="557943EF">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sz w:val="21"/>
                      <w:szCs w:val="21"/>
                    </w:rPr>
                  </w:pPr>
                  <w:r>
                    <w:rPr>
                      <w:rFonts w:hint="default" w:ascii="Times New Roman" w:hAnsi="Times New Roman" w:eastAsia="宋体" w:cs="Times New Roman"/>
                      <w:b w:val="0"/>
                      <w:bCs w:val="0"/>
                      <w:color w:val="FF0000"/>
                      <w:kern w:val="0"/>
                      <w:sz w:val="21"/>
                      <w:szCs w:val="21"/>
                      <w:lang w:val="en-GB" w:eastAsia="zh-CN" w:bidi="ar-SA"/>
                    </w:rPr>
                    <w:t>本</w:t>
                  </w:r>
                  <w:r>
                    <w:rPr>
                      <w:rFonts w:hint="default" w:ascii="Times New Roman" w:hAnsi="Times New Roman" w:eastAsia="宋体" w:cs="Times New Roman"/>
                      <w:b w:val="0"/>
                      <w:bCs w:val="0"/>
                      <w:color w:val="FF0000"/>
                      <w:kern w:val="0"/>
                      <w:sz w:val="21"/>
                      <w:szCs w:val="21"/>
                      <w:lang w:val="en-GB" w:eastAsia="zh-TW" w:bidi="ar-SA"/>
                    </w:rPr>
                    <w:t>项目</w:t>
                  </w:r>
                  <w:r>
                    <w:rPr>
                      <w:rFonts w:hint="eastAsia" w:ascii="Times New Roman" w:hAnsi="Times New Roman" w:cs="Times New Roman"/>
                      <w:b w:val="0"/>
                      <w:bCs w:val="0"/>
                      <w:color w:val="FF0000"/>
                      <w:kern w:val="0"/>
                      <w:sz w:val="21"/>
                      <w:szCs w:val="21"/>
                      <w:lang w:val="en-GB" w:eastAsia="zh-CN" w:bidi="ar-SA"/>
                    </w:rPr>
                    <w:t>为新建项目，</w:t>
                  </w:r>
                  <w:r>
                    <w:rPr>
                      <w:rFonts w:hint="eastAsia" w:cs="Times New Roman"/>
                      <w:b w:val="0"/>
                      <w:bCs w:val="0"/>
                      <w:color w:val="FF0000"/>
                      <w:kern w:val="0"/>
                      <w:sz w:val="21"/>
                      <w:szCs w:val="21"/>
                      <w:lang w:val="en-GB" w:eastAsia="zh-CN" w:bidi="ar-SA"/>
                    </w:rPr>
                    <w:t>厂房</w:t>
                  </w:r>
                  <w:r>
                    <w:rPr>
                      <w:rFonts w:hint="default" w:ascii="Times New Roman" w:hAnsi="Times New Roman" w:eastAsia="宋体" w:cs="Times New Roman"/>
                      <w:b w:val="0"/>
                      <w:bCs w:val="0"/>
                      <w:color w:val="FF0000"/>
                      <w:kern w:val="0"/>
                      <w:sz w:val="21"/>
                      <w:szCs w:val="21"/>
                      <w:lang w:val="en-GB" w:eastAsia="zh-TW" w:bidi="ar-SA"/>
                    </w:rPr>
                    <w:t>位于陕西省汉中市佛坪县袁家庄街道办塘湾路</w:t>
                  </w:r>
                  <w:r>
                    <w:rPr>
                      <w:rFonts w:hint="default" w:ascii="Times New Roman" w:hAnsi="Times New Roman" w:cs="Times New Roman"/>
                      <w:b w:val="0"/>
                      <w:bCs w:val="0"/>
                      <w:color w:val="FF0000"/>
                      <w:kern w:val="0"/>
                      <w:sz w:val="21"/>
                      <w:szCs w:val="21"/>
                      <w:lang w:val="en-US" w:eastAsia="zh-CN" w:bidi="ar-SA"/>
                    </w:rPr>
                    <w:t>38</w:t>
                  </w:r>
                  <w:r>
                    <w:rPr>
                      <w:rFonts w:hint="default" w:ascii="Times New Roman" w:hAnsi="Times New Roman" w:eastAsia="宋体" w:cs="Times New Roman"/>
                      <w:b w:val="0"/>
                      <w:bCs w:val="0"/>
                      <w:color w:val="FF0000"/>
                      <w:kern w:val="0"/>
                      <w:sz w:val="21"/>
                      <w:szCs w:val="21"/>
                      <w:lang w:val="en-GB" w:eastAsia="zh-TW" w:bidi="ar-SA"/>
                    </w:rPr>
                    <w:t>号</w:t>
                  </w:r>
                  <w:r>
                    <w:rPr>
                      <w:rFonts w:hint="eastAsia" w:ascii="Times New Roman" w:hAnsi="Times New Roman" w:cs="Times New Roman"/>
                      <w:b w:val="0"/>
                      <w:bCs w:val="0"/>
                      <w:color w:val="FF0000"/>
                      <w:kern w:val="0"/>
                      <w:sz w:val="21"/>
                      <w:szCs w:val="21"/>
                      <w:lang w:val="en-GB" w:eastAsia="zh-CN" w:bidi="ar-SA"/>
                    </w:rPr>
                    <w:t>，</w:t>
                  </w:r>
                  <w:r>
                    <w:rPr>
                      <w:rFonts w:hint="eastAsia" w:ascii="Times New Roman" w:hAnsi="Times New Roman" w:cs="Times New Roman"/>
                      <w:b w:val="0"/>
                      <w:bCs w:val="0"/>
                      <w:color w:val="FF0000"/>
                      <w:sz w:val="21"/>
                      <w:szCs w:val="21"/>
                      <w:lang w:eastAsia="zh-CN"/>
                    </w:rPr>
                    <w:t>属于引汉济渭水源地准保护区，</w:t>
                  </w:r>
                  <w:r>
                    <w:rPr>
                      <w:rFonts w:hint="default" w:ascii="Times New Roman" w:hAnsi="Times New Roman" w:eastAsia="宋体" w:cs="Times New Roman"/>
                      <w:b w:val="0"/>
                      <w:bCs w:val="0"/>
                      <w:color w:val="FF0000"/>
                      <w:sz w:val="21"/>
                      <w:szCs w:val="21"/>
                      <w:lang w:eastAsia="zh-CN"/>
                    </w:rPr>
                    <w:t>项目产生的污染物极少，生产废水经收集桶收集后检测合格拉运至佛坪县污水处理厂，生活污水经市政管网进入佛坪县污水处理厂，不属于对水体污染严重的建设项目</w:t>
                  </w:r>
                  <w:r>
                    <w:rPr>
                      <w:rFonts w:hint="eastAsia" w:ascii="Times New Roman" w:hAnsi="Times New Roman" w:cs="Times New Roman"/>
                      <w:b w:val="0"/>
                      <w:bCs w:val="0"/>
                      <w:color w:val="FF0000"/>
                      <w:sz w:val="21"/>
                      <w:szCs w:val="21"/>
                      <w:lang w:eastAsia="zh-CN"/>
                    </w:rPr>
                    <w:t>。</w:t>
                  </w:r>
                </w:p>
              </w:tc>
              <w:tc>
                <w:tcPr>
                  <w:tcW w:w="304" w:type="pct"/>
                  <w:tcBorders>
                    <w:tl2br w:val="nil"/>
                    <w:tr2bl w:val="nil"/>
                  </w:tcBorders>
                  <w:vAlign w:val="center"/>
                </w:tcPr>
                <w:p w14:paraId="22C34FD6">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sz w:val="21"/>
                      <w:szCs w:val="21"/>
                      <w:lang w:eastAsia="zh-CN"/>
                    </w:rPr>
                  </w:pPr>
                  <w:r>
                    <w:rPr>
                      <w:rFonts w:hint="eastAsia" w:ascii="Times New Roman" w:hAnsi="Times New Roman" w:cs="Times New Roman"/>
                      <w:b w:val="0"/>
                      <w:bCs w:val="0"/>
                      <w:color w:val="FF0000"/>
                      <w:sz w:val="21"/>
                      <w:szCs w:val="21"/>
                      <w:lang w:eastAsia="zh-CN"/>
                    </w:rPr>
                    <w:t>符合</w:t>
                  </w:r>
                </w:p>
              </w:tc>
            </w:tr>
            <w:tr w14:paraId="242A45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4" w:hRule="atLeast"/>
              </w:trPr>
              <w:tc>
                <w:tcPr>
                  <w:tcW w:w="821" w:type="pct"/>
                  <w:tcBorders>
                    <w:tl2br w:val="nil"/>
                    <w:tr2bl w:val="nil"/>
                  </w:tcBorders>
                  <w:vAlign w:val="center"/>
                </w:tcPr>
                <w:p w14:paraId="1BD6FB86">
                  <w:pPr>
                    <w:pStyle w:val="6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eastAsia="zh-CN"/>
                    </w:rPr>
                    <w:t>《陕西省饮用水水源保护条例》</w:t>
                  </w:r>
                  <w:r>
                    <w:rPr>
                      <w:rFonts w:hint="eastAsia" w:ascii="Times New Roman" w:hAnsi="Times New Roman" w:cs="Times New Roman"/>
                      <w:b w:val="0"/>
                      <w:bCs w:val="0"/>
                      <w:color w:val="auto"/>
                      <w:sz w:val="21"/>
                      <w:szCs w:val="21"/>
                      <w:lang w:eastAsia="zh-CN"/>
                    </w:rPr>
                    <w:t>、《关于同意设立引汉济渭工程饮用水水源保护区的函》（陕政办函〔20</w:t>
                  </w:r>
                  <w:r>
                    <w:rPr>
                      <w:rFonts w:hint="eastAsia" w:ascii="Times New Roman" w:hAnsi="Times New Roman" w:cs="Times New Roman"/>
                      <w:b w:val="0"/>
                      <w:bCs w:val="0"/>
                      <w:color w:val="auto"/>
                      <w:sz w:val="21"/>
                      <w:szCs w:val="21"/>
                      <w:lang w:val="en-US" w:eastAsia="zh-CN"/>
                    </w:rPr>
                    <w:t>16</w:t>
                  </w:r>
                  <w:r>
                    <w:rPr>
                      <w:rFonts w:hint="eastAsia" w:ascii="Times New Roman" w:hAnsi="Times New Roman" w:cs="Times New Roman"/>
                      <w:b w:val="0"/>
                      <w:bCs w:val="0"/>
                      <w:color w:val="auto"/>
                      <w:sz w:val="21"/>
                      <w:szCs w:val="21"/>
                      <w:lang w:eastAsia="zh-CN"/>
                    </w:rPr>
                    <w:t>〕</w:t>
                  </w:r>
                  <w:r>
                    <w:rPr>
                      <w:rFonts w:hint="eastAsia" w:ascii="Times New Roman" w:hAnsi="Times New Roman" w:cs="Times New Roman"/>
                      <w:b w:val="0"/>
                      <w:bCs w:val="0"/>
                      <w:color w:val="auto"/>
                      <w:sz w:val="21"/>
                      <w:szCs w:val="21"/>
                      <w:lang w:val="en-US" w:eastAsia="zh-CN"/>
                    </w:rPr>
                    <w:t>249</w:t>
                  </w:r>
                  <w:r>
                    <w:rPr>
                      <w:rFonts w:hint="eastAsia" w:ascii="Times New Roman" w:hAnsi="Times New Roman" w:cs="Times New Roman"/>
                      <w:b w:val="0"/>
                      <w:bCs w:val="0"/>
                      <w:color w:val="auto"/>
                      <w:sz w:val="21"/>
                      <w:szCs w:val="21"/>
                      <w:lang w:eastAsia="zh-CN"/>
                    </w:rPr>
                    <w:t>号）</w:t>
                  </w:r>
                </w:p>
              </w:tc>
              <w:tc>
                <w:tcPr>
                  <w:tcW w:w="2175" w:type="pct"/>
                  <w:tcBorders>
                    <w:tl2br w:val="nil"/>
                    <w:tr2bl w:val="nil"/>
                  </w:tcBorders>
                  <w:vAlign w:val="center"/>
                </w:tcPr>
                <w:p w14:paraId="56E4CE3B">
                  <w:pPr>
                    <w:pStyle w:val="6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cs="Times New Roman"/>
                      <w:b w:val="0"/>
                      <w:bCs w:val="0"/>
                      <w:color w:val="auto"/>
                      <w:sz w:val="21"/>
                      <w:szCs w:val="21"/>
                      <w:lang w:eastAsia="zh-CN"/>
                    </w:rPr>
                    <w:t>引汉济渭水源地保护区以三河口水库为核心，佛坪县涉及部分区域，划分如下：一级保护区：三河口水库水域及周边，主要覆盖佛坪县大河坝镇三河口村、生凤村等库周区域，禁止建设与供水无关项目；二级保护区：椒溪河、蒲河等入库河流沿岸，涵盖佛坪县长角坝镇、岳坝镇、西岔河镇部分河段；准保护区：除一、二级外的其余县域，作为水源涵养与生态缓冲带；依据</w:t>
                  </w:r>
                  <w:r>
                    <w:rPr>
                      <w:rFonts w:hint="default" w:ascii="Times New Roman" w:hAnsi="Times New Roman" w:eastAsia="宋体" w:cs="Times New Roman"/>
                      <w:b w:val="0"/>
                      <w:bCs w:val="0"/>
                      <w:color w:val="auto"/>
                      <w:sz w:val="21"/>
                      <w:szCs w:val="21"/>
                      <w:lang w:eastAsia="zh-CN"/>
                    </w:rPr>
                    <w:t>《陕西省饮用水水源保护条例》</w:t>
                  </w:r>
                  <w:r>
                    <w:rPr>
                      <w:rFonts w:hint="default" w:ascii="Times New Roman" w:hAnsi="Times New Roman" w:eastAsia="宋体" w:cs="Times New Roman"/>
                      <w:b w:val="0"/>
                      <w:bCs w:val="0"/>
                      <w:color w:val="auto"/>
                      <w:sz w:val="21"/>
                      <w:szCs w:val="21"/>
                    </w:rPr>
                    <w:t>第二十三条在地表水饮用水水源准保护区内，禁止下列行为：（二）设置化工原料、危险废物和易溶性、有毒有害废弃物的暂存及转运站</w:t>
                  </w:r>
                  <w:r>
                    <w:rPr>
                      <w:rFonts w:hint="eastAsia" w:ascii="Times New Roman" w:hAnsi="Times New Roman" w:cs="Times New Roman"/>
                      <w:b w:val="0"/>
                      <w:bCs w:val="0"/>
                      <w:color w:val="auto"/>
                      <w:sz w:val="21"/>
                      <w:szCs w:val="21"/>
                      <w:lang w:eastAsia="zh-CN"/>
                    </w:rPr>
                    <w:t>。</w:t>
                  </w:r>
                </w:p>
              </w:tc>
              <w:tc>
                <w:tcPr>
                  <w:tcW w:w="1698" w:type="pct"/>
                  <w:tcBorders>
                    <w:tl2br w:val="nil"/>
                    <w:tr2bl w:val="nil"/>
                  </w:tcBorders>
                  <w:vAlign w:val="center"/>
                </w:tcPr>
                <w:p w14:paraId="6C4DE5E6">
                  <w:pPr>
                    <w:pStyle w:val="6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color w:val="auto"/>
                      <w:kern w:val="0"/>
                      <w:sz w:val="21"/>
                      <w:szCs w:val="21"/>
                      <w:lang w:val="en-GB" w:eastAsia="zh-CN" w:bidi="ar-SA"/>
                    </w:rPr>
                    <w:t>本</w:t>
                  </w:r>
                  <w:r>
                    <w:rPr>
                      <w:rFonts w:hint="default" w:ascii="Times New Roman" w:hAnsi="Times New Roman" w:eastAsia="宋体" w:cs="Times New Roman"/>
                      <w:color w:val="auto"/>
                      <w:kern w:val="0"/>
                      <w:sz w:val="21"/>
                      <w:szCs w:val="21"/>
                      <w:lang w:val="en-GB" w:eastAsia="zh-TW" w:bidi="ar-SA"/>
                    </w:rPr>
                    <w:t>项目</w:t>
                  </w:r>
                  <w:r>
                    <w:rPr>
                      <w:rFonts w:hint="eastAsia" w:cs="Times New Roman"/>
                      <w:color w:val="auto"/>
                      <w:kern w:val="0"/>
                      <w:sz w:val="21"/>
                      <w:szCs w:val="21"/>
                      <w:lang w:val="en-GB" w:eastAsia="zh-CN" w:bidi="ar-SA"/>
                    </w:rPr>
                    <w:t>厂房</w:t>
                  </w:r>
                  <w:r>
                    <w:rPr>
                      <w:rFonts w:hint="default" w:ascii="Times New Roman" w:hAnsi="Times New Roman" w:eastAsia="宋体" w:cs="Times New Roman"/>
                      <w:color w:val="auto"/>
                      <w:kern w:val="0"/>
                      <w:sz w:val="21"/>
                      <w:szCs w:val="21"/>
                      <w:lang w:val="en-GB" w:eastAsia="zh-TW" w:bidi="ar-SA"/>
                    </w:rPr>
                    <w:t>位于陕西省汉中市佛坪县袁家庄街道办塘湾路</w:t>
                  </w:r>
                  <w:r>
                    <w:rPr>
                      <w:rFonts w:hint="default" w:ascii="Times New Roman" w:hAnsi="Times New Roman" w:cs="Times New Roman"/>
                      <w:color w:val="auto"/>
                      <w:kern w:val="0"/>
                      <w:sz w:val="21"/>
                      <w:szCs w:val="21"/>
                      <w:lang w:val="en-US" w:eastAsia="zh-CN" w:bidi="ar-SA"/>
                    </w:rPr>
                    <w:t>38</w:t>
                  </w:r>
                  <w:r>
                    <w:rPr>
                      <w:rFonts w:hint="default" w:ascii="Times New Roman" w:hAnsi="Times New Roman" w:eastAsia="宋体" w:cs="Times New Roman"/>
                      <w:color w:val="auto"/>
                      <w:kern w:val="0"/>
                      <w:sz w:val="21"/>
                      <w:szCs w:val="21"/>
                      <w:lang w:val="en-GB" w:eastAsia="zh-TW" w:bidi="ar-SA"/>
                    </w:rPr>
                    <w:t>号</w:t>
                  </w:r>
                  <w:r>
                    <w:rPr>
                      <w:rFonts w:hint="eastAsia" w:ascii="Times New Roman" w:hAnsi="Times New Roman" w:cs="Times New Roman"/>
                      <w:color w:val="auto"/>
                      <w:kern w:val="0"/>
                      <w:sz w:val="21"/>
                      <w:szCs w:val="21"/>
                      <w:lang w:val="en-GB" w:eastAsia="zh-CN" w:bidi="ar-SA"/>
                    </w:rPr>
                    <w:t>，</w:t>
                  </w:r>
                  <w:r>
                    <w:rPr>
                      <w:rFonts w:hint="eastAsia" w:ascii="Times New Roman" w:hAnsi="Times New Roman" w:cs="Times New Roman"/>
                      <w:b w:val="0"/>
                      <w:bCs w:val="0"/>
                      <w:color w:val="auto"/>
                      <w:sz w:val="21"/>
                      <w:szCs w:val="21"/>
                      <w:lang w:eastAsia="zh-CN"/>
                    </w:rPr>
                    <w:t>属于引汉济渭水源地准保护区，为水源涵养与生态缓冲带；</w:t>
                  </w:r>
                  <w:r>
                    <w:rPr>
                      <w:rFonts w:hint="eastAsia" w:ascii="Times New Roman" w:hAnsi="Times New Roman" w:cs="Times New Roman"/>
                      <w:color w:val="auto"/>
                      <w:sz w:val="21"/>
                      <w:szCs w:val="21"/>
                      <w:lang w:val="en-US" w:eastAsia="zh-CN"/>
                    </w:rPr>
                    <w:t>试验过程产生的试验废液和设备维修产生的</w:t>
                  </w:r>
                  <w:r>
                    <w:rPr>
                      <w:rFonts w:hint="eastAsia" w:ascii="Times New Roman" w:hAnsi="Times New Roman" w:cs="Times New Roman"/>
                      <w:color w:val="auto"/>
                      <w:kern w:val="2"/>
                      <w:sz w:val="21"/>
                      <w:szCs w:val="21"/>
                      <w:highlight w:val="none"/>
                      <w:lang w:val="en-US" w:eastAsia="zh-CN" w:bidi="ar-SA"/>
                    </w:rPr>
                    <w:t>废机油</w:t>
                  </w:r>
                  <w:r>
                    <w:rPr>
                      <w:rFonts w:hint="eastAsia" w:cs="Times New Roman"/>
                      <w:color w:val="auto"/>
                      <w:kern w:val="2"/>
                      <w:sz w:val="21"/>
                      <w:szCs w:val="21"/>
                      <w:highlight w:val="none"/>
                      <w:lang w:val="en-US" w:eastAsia="zh-CN" w:bidi="ar-SA"/>
                    </w:rPr>
                    <w:t>、废油桶</w:t>
                  </w:r>
                  <w:r>
                    <w:rPr>
                      <w:rFonts w:hint="eastAsia" w:ascii="Times New Roman" w:hAnsi="Times New Roman" w:cs="Times New Roman"/>
                      <w:color w:val="auto"/>
                      <w:sz w:val="21"/>
                      <w:szCs w:val="21"/>
                      <w:lang w:val="en-US" w:eastAsia="zh-CN"/>
                    </w:rPr>
                    <w:t>属于危险废物，</w:t>
                  </w:r>
                  <w:r>
                    <w:rPr>
                      <w:rFonts w:hint="eastAsia" w:ascii="Times New Roman" w:hAnsi="Times New Roman" w:cs="Times New Roman"/>
                      <w:b w:val="0"/>
                      <w:bCs w:val="0"/>
                      <w:color w:val="auto"/>
                      <w:sz w:val="21"/>
                      <w:szCs w:val="21"/>
                      <w:lang w:eastAsia="zh-CN"/>
                    </w:rPr>
                    <w:t>本</w:t>
                  </w:r>
                  <w:r>
                    <w:rPr>
                      <w:rFonts w:hint="eastAsia" w:ascii="Times New Roman" w:hAnsi="Times New Roman" w:cs="Times New Roman"/>
                      <w:color w:val="auto"/>
                      <w:sz w:val="21"/>
                      <w:szCs w:val="21"/>
                      <w:lang w:val="en-US" w:eastAsia="zh-CN"/>
                    </w:rPr>
                    <w:t>项目要求将废液和</w:t>
                  </w:r>
                  <w:r>
                    <w:rPr>
                      <w:rFonts w:hint="eastAsia" w:ascii="Times New Roman" w:hAnsi="Times New Roman" w:cs="Times New Roman"/>
                      <w:color w:val="auto"/>
                      <w:kern w:val="2"/>
                      <w:sz w:val="21"/>
                      <w:szCs w:val="21"/>
                      <w:highlight w:val="none"/>
                      <w:lang w:val="en-US" w:eastAsia="zh-CN" w:bidi="ar-SA"/>
                    </w:rPr>
                    <w:t>废机油</w:t>
                  </w:r>
                  <w:r>
                    <w:rPr>
                      <w:rFonts w:hint="default" w:ascii="Times New Roman" w:hAnsi="Times New Roman" w:eastAsia="宋体" w:cs="Times New Roman"/>
                      <w:b w:val="0"/>
                      <w:bCs w:val="0"/>
                      <w:color w:val="auto"/>
                      <w:sz w:val="21"/>
                      <w:szCs w:val="21"/>
                    </w:rPr>
                    <w:t>采用密闭周转桶、防渗托盘，</w:t>
                  </w:r>
                  <w:r>
                    <w:rPr>
                      <w:rFonts w:hint="eastAsia" w:ascii="Times New Roman" w:hAnsi="Times New Roman" w:cs="Times New Roman"/>
                      <w:b w:val="0"/>
                      <w:bCs w:val="0"/>
                      <w:color w:val="auto"/>
                      <w:sz w:val="21"/>
                      <w:szCs w:val="21"/>
                      <w:lang w:eastAsia="zh-CN"/>
                    </w:rPr>
                    <w:t>与</w:t>
                  </w:r>
                  <w:r>
                    <w:rPr>
                      <w:rFonts w:hint="eastAsia" w:cs="Times New Roman"/>
                      <w:color w:val="auto"/>
                      <w:kern w:val="2"/>
                      <w:sz w:val="21"/>
                      <w:szCs w:val="21"/>
                      <w:highlight w:val="none"/>
                      <w:lang w:val="en-US" w:eastAsia="zh-CN" w:bidi="ar-SA"/>
                    </w:rPr>
                    <w:t>废油桶</w:t>
                  </w:r>
                  <w:r>
                    <w:rPr>
                      <w:rFonts w:hint="eastAsia" w:ascii="Times New Roman" w:hAnsi="Times New Roman" w:cs="Times New Roman"/>
                      <w:b w:val="0"/>
                      <w:bCs w:val="0"/>
                      <w:color w:val="auto"/>
                      <w:sz w:val="21"/>
                      <w:szCs w:val="21"/>
                      <w:lang w:eastAsia="zh-CN"/>
                    </w:rPr>
                    <w:t>产生后及时</w:t>
                  </w:r>
                  <w:r>
                    <w:rPr>
                      <w:rFonts w:hint="default" w:ascii="Times New Roman" w:hAnsi="Times New Roman" w:eastAsia="宋体" w:cs="Times New Roman"/>
                      <w:b w:val="0"/>
                      <w:bCs w:val="0"/>
                      <w:color w:val="auto"/>
                      <w:sz w:val="21"/>
                      <w:szCs w:val="21"/>
                    </w:rPr>
                    <w:t>委托有资质单位转运处置，不得</w:t>
                  </w:r>
                  <w:r>
                    <w:rPr>
                      <w:rFonts w:hint="eastAsia" w:ascii="Times New Roman" w:hAnsi="Times New Roman" w:cs="Times New Roman"/>
                      <w:b w:val="0"/>
                      <w:bCs w:val="0"/>
                      <w:color w:val="auto"/>
                      <w:sz w:val="21"/>
                      <w:szCs w:val="21"/>
                      <w:lang w:eastAsia="zh-CN"/>
                    </w:rPr>
                    <w:t>在厂</w:t>
                  </w:r>
                  <w:r>
                    <w:rPr>
                      <w:rFonts w:hint="default" w:ascii="Times New Roman" w:hAnsi="Times New Roman" w:eastAsia="宋体" w:cs="Times New Roman"/>
                      <w:b w:val="0"/>
                      <w:bCs w:val="0"/>
                      <w:color w:val="auto"/>
                      <w:sz w:val="21"/>
                      <w:szCs w:val="21"/>
                    </w:rPr>
                    <w:t>内长期暂存</w:t>
                  </w:r>
                  <w:r>
                    <w:rPr>
                      <w:rFonts w:hint="eastAsia" w:ascii="Times New Roman" w:hAnsi="Times New Roman" w:cs="Times New Roman"/>
                      <w:color w:val="auto"/>
                      <w:sz w:val="21"/>
                      <w:szCs w:val="21"/>
                      <w:lang w:val="en-US" w:eastAsia="zh-CN"/>
                    </w:rPr>
                    <w:t>。</w:t>
                  </w:r>
                </w:p>
              </w:tc>
              <w:tc>
                <w:tcPr>
                  <w:tcW w:w="304" w:type="pct"/>
                  <w:tcBorders>
                    <w:tl2br w:val="nil"/>
                    <w:tr2bl w:val="nil"/>
                  </w:tcBorders>
                  <w:vAlign w:val="center"/>
                </w:tcPr>
                <w:p w14:paraId="0B7E31C2">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lang w:eastAsia="zh-CN"/>
                    </w:rPr>
                  </w:pPr>
                  <w:r>
                    <w:rPr>
                      <w:rFonts w:hint="eastAsia" w:ascii="Times New Roman" w:hAnsi="Times New Roman" w:cs="Times New Roman"/>
                      <w:b w:val="0"/>
                      <w:bCs w:val="0"/>
                      <w:color w:val="auto"/>
                      <w:sz w:val="21"/>
                      <w:szCs w:val="21"/>
                      <w:lang w:eastAsia="zh-CN"/>
                    </w:rPr>
                    <w:t>符合</w:t>
                  </w:r>
                </w:p>
              </w:tc>
            </w:tr>
            <w:tr w14:paraId="4DCC8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21" w:type="pct"/>
                  <w:tcBorders>
                    <w:tl2br w:val="nil"/>
                    <w:tr2bl w:val="nil"/>
                  </w:tcBorders>
                  <w:vAlign w:val="center"/>
                </w:tcPr>
                <w:p w14:paraId="7AEBA367">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cs="Times New Roman"/>
                      <w:b w:val="0"/>
                      <w:bCs w:val="0"/>
                      <w:color w:val="auto"/>
                      <w:sz w:val="21"/>
                      <w:szCs w:val="21"/>
                      <w:lang w:eastAsia="zh-CN"/>
                    </w:rPr>
                    <w:t>《陕西省汉江丹江流域水污染防治条例》</w:t>
                  </w:r>
                </w:p>
              </w:tc>
              <w:tc>
                <w:tcPr>
                  <w:tcW w:w="2175" w:type="pct"/>
                  <w:tcBorders>
                    <w:tl2br w:val="nil"/>
                    <w:tr2bl w:val="nil"/>
                  </w:tcBorders>
                  <w:vAlign w:val="center"/>
                </w:tcPr>
                <w:p w14:paraId="79263454">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第十六条禁止在汉江、丹江流域水库、湖泊、河道管理范围内堆放、倾倒、存贮生活垃圾、建筑垃圾、动物尸体及其他固体废弃物和法律、法规禁止的其他行为。</w:t>
                  </w:r>
                </w:p>
              </w:tc>
              <w:tc>
                <w:tcPr>
                  <w:tcW w:w="1698" w:type="pct"/>
                  <w:tcBorders>
                    <w:tl2br w:val="nil"/>
                    <w:tr2bl w:val="nil"/>
                  </w:tcBorders>
                  <w:vAlign w:val="center"/>
                </w:tcPr>
                <w:p w14:paraId="63AA958E">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cs="Times New Roman"/>
                      <w:b w:val="0"/>
                      <w:bCs w:val="0"/>
                      <w:color w:val="auto"/>
                      <w:sz w:val="21"/>
                      <w:szCs w:val="21"/>
                      <w:lang w:eastAsia="zh-CN"/>
                    </w:rPr>
                    <w:t>本项目在实施过程中不存在向</w:t>
                  </w:r>
                  <w:r>
                    <w:rPr>
                      <w:rFonts w:hint="default" w:ascii="Times New Roman" w:hAnsi="Times New Roman" w:eastAsia="宋体" w:cs="Times New Roman"/>
                      <w:b w:val="0"/>
                      <w:bCs w:val="0"/>
                      <w:color w:val="auto"/>
                      <w:sz w:val="21"/>
                      <w:szCs w:val="21"/>
                    </w:rPr>
                    <w:t>汉江、丹江流域水库、湖泊、河道管理范围内堆放、倾倒、存贮生活垃圾、建筑垃圾、动物尸体及其他固体废弃物和法律、法规禁止的其他行为</w:t>
                  </w:r>
                  <w:r>
                    <w:rPr>
                      <w:rFonts w:hint="eastAsia" w:ascii="Times New Roman" w:hAnsi="Times New Roman" w:cs="Times New Roman"/>
                      <w:b w:val="0"/>
                      <w:bCs w:val="0"/>
                      <w:color w:val="auto"/>
                      <w:sz w:val="21"/>
                      <w:szCs w:val="21"/>
                      <w:lang w:eastAsia="zh-CN"/>
                    </w:rPr>
                    <w:t>。</w:t>
                  </w:r>
                </w:p>
              </w:tc>
              <w:tc>
                <w:tcPr>
                  <w:tcW w:w="304" w:type="pct"/>
                  <w:tcBorders>
                    <w:tl2br w:val="nil"/>
                    <w:tr2bl w:val="nil"/>
                  </w:tcBorders>
                  <w:vAlign w:val="center"/>
                </w:tcPr>
                <w:p w14:paraId="4BCFAEB9">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cs="Times New Roman"/>
                      <w:b w:val="0"/>
                      <w:bCs w:val="0"/>
                      <w:color w:val="auto"/>
                      <w:sz w:val="21"/>
                      <w:szCs w:val="21"/>
                      <w:lang w:eastAsia="zh-CN"/>
                    </w:rPr>
                    <w:t>符合</w:t>
                  </w:r>
                </w:p>
              </w:tc>
            </w:tr>
            <w:tr w14:paraId="5EEBA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21" w:type="pct"/>
                  <w:tcBorders>
                    <w:tl2br w:val="nil"/>
                    <w:tr2bl w:val="nil"/>
                  </w:tcBorders>
                  <w:vAlign w:val="center"/>
                </w:tcPr>
                <w:p w14:paraId="7EEBB16C">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auto"/>
                      <w:sz w:val="21"/>
                      <w:szCs w:val="21"/>
                      <w:lang w:eastAsia="zh-CN"/>
                    </w:rPr>
                  </w:pPr>
                  <w:r>
                    <w:rPr>
                      <w:rFonts w:hint="eastAsia" w:ascii="Times New Roman" w:hAnsi="Times New Roman" w:cs="Times New Roman"/>
                      <w:b w:val="0"/>
                      <w:bCs w:val="0"/>
                      <w:color w:val="auto"/>
                      <w:sz w:val="21"/>
                      <w:szCs w:val="21"/>
                      <w:lang w:eastAsia="zh-CN"/>
                    </w:rPr>
                    <w:t>《陕西省秦岭生态环境保护条例》</w:t>
                  </w:r>
                </w:p>
              </w:tc>
              <w:tc>
                <w:tcPr>
                  <w:tcW w:w="2175" w:type="pct"/>
                  <w:tcBorders>
                    <w:tl2br w:val="nil"/>
                    <w:tr2bl w:val="nil"/>
                  </w:tcBorders>
                  <w:vAlign w:val="center"/>
                </w:tcPr>
                <w:p w14:paraId="4410028E">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eastAsia="zh-CN"/>
                    </w:rPr>
                    <w:t>第十八条 法律、行政法规对本条例第十五条、第十六条、第十七条划定的核心保护区、重点保护区、一般保护区的管理有相关规定的，依照法律、行政法规的规定执行。除本条例另有规定外，核心保护区不得进行与生态保护、科学研究无关的活动；重点保护区不得进行与其保护功能不相符的开发建设活动。一般保护区生产、生活和建设活动，应当严格执行法律、法规和本条例的规定。在核心保护区、重点保护区实施能源、交通、水利、国防等重大基础设施建设和战略性矿产资源勘查项目，应当依法进行环境影响评价，报省人民政府审定。在秦岭范围内的生产、生活和建设活动应当符合秦岭生态环境保护规划，依法采取相应生态环境保护措施，保证秦岭生态功能不降低。</w:t>
                  </w:r>
                </w:p>
              </w:tc>
              <w:tc>
                <w:tcPr>
                  <w:tcW w:w="1698" w:type="pct"/>
                  <w:tcBorders>
                    <w:tl2br w:val="nil"/>
                    <w:tr2bl w:val="nil"/>
                  </w:tcBorders>
                  <w:vAlign w:val="center"/>
                </w:tcPr>
                <w:p w14:paraId="2BDF24B6">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GB" w:eastAsia="zh-CN" w:bidi="ar-SA"/>
                    </w:rPr>
                    <w:t>本</w:t>
                  </w:r>
                  <w:r>
                    <w:rPr>
                      <w:rFonts w:hint="default" w:ascii="Times New Roman" w:hAnsi="Times New Roman" w:eastAsia="宋体" w:cs="Times New Roman"/>
                      <w:color w:val="auto"/>
                      <w:kern w:val="0"/>
                      <w:sz w:val="21"/>
                      <w:szCs w:val="21"/>
                      <w:highlight w:val="none"/>
                      <w:lang w:val="en-GB" w:eastAsia="zh-TW" w:bidi="ar-SA"/>
                    </w:rPr>
                    <w:t>项目</w:t>
                  </w:r>
                  <w:r>
                    <w:rPr>
                      <w:rFonts w:hint="eastAsia" w:cs="Times New Roman"/>
                      <w:color w:val="auto"/>
                      <w:kern w:val="0"/>
                      <w:sz w:val="21"/>
                      <w:szCs w:val="21"/>
                      <w:highlight w:val="none"/>
                      <w:lang w:val="en-GB" w:eastAsia="zh-CN" w:bidi="ar-SA"/>
                    </w:rPr>
                    <w:t>厂房</w:t>
                  </w:r>
                  <w:r>
                    <w:rPr>
                      <w:rFonts w:hint="default" w:ascii="Times New Roman" w:hAnsi="Times New Roman" w:eastAsia="宋体" w:cs="Times New Roman"/>
                      <w:color w:val="auto"/>
                      <w:kern w:val="0"/>
                      <w:sz w:val="21"/>
                      <w:szCs w:val="21"/>
                      <w:highlight w:val="none"/>
                      <w:lang w:val="en-GB" w:eastAsia="zh-TW" w:bidi="ar-SA"/>
                    </w:rPr>
                    <w:t>位于陕西省汉中市佛坪县袁家庄街道办塘湾路</w:t>
                  </w:r>
                  <w:r>
                    <w:rPr>
                      <w:rFonts w:hint="eastAsia" w:ascii="Times New Roman" w:hAnsi="Times New Roman" w:cs="Times New Roman"/>
                      <w:color w:val="auto"/>
                      <w:sz w:val="21"/>
                      <w:szCs w:val="21"/>
                      <w:lang w:val="en-US" w:eastAsia="zh-CN"/>
                    </w:rPr>
                    <w:t>38</w:t>
                  </w:r>
                  <w:r>
                    <w:rPr>
                      <w:rFonts w:hint="default" w:ascii="Times New Roman" w:hAnsi="Times New Roman" w:cs="Times New Roman"/>
                      <w:color w:val="auto"/>
                      <w:sz w:val="21"/>
                      <w:szCs w:val="21"/>
                      <w:lang w:val="en-GB" w:eastAsia="zh-TW"/>
                    </w:rPr>
                    <w:t>号</w:t>
                  </w:r>
                  <w:r>
                    <w:rPr>
                      <w:rFonts w:hint="eastAsia" w:ascii="Times New Roman" w:hAnsi="Times New Roman" w:cs="Times New Roman"/>
                      <w:color w:val="auto"/>
                      <w:kern w:val="0"/>
                      <w:sz w:val="21"/>
                      <w:szCs w:val="21"/>
                      <w:highlight w:val="none"/>
                      <w:lang w:val="en-GB" w:eastAsia="zh-CN" w:bidi="ar-SA"/>
                    </w:rPr>
                    <w:t>，属于一般保护区，在一般保护区内进行生产、生活和建设活动，严格按照法律、行政法规的规定执行，</w:t>
                  </w:r>
                  <w:r>
                    <w:rPr>
                      <w:rFonts w:hint="eastAsia" w:ascii="Times New Roman" w:hAnsi="Times New Roman" w:cs="Times New Roman"/>
                      <w:color w:val="auto"/>
                      <w:kern w:val="2"/>
                      <w:sz w:val="21"/>
                      <w:szCs w:val="21"/>
                      <w:highlight w:val="none"/>
                      <w:lang w:val="en-US" w:eastAsia="zh-CN"/>
                    </w:rPr>
                    <w:t>过滤残渣、废烂果品</w:t>
                  </w:r>
                  <w:r>
                    <w:rPr>
                      <w:rFonts w:hint="eastAsia" w:ascii="Times New Roman" w:hAnsi="Times New Roman" w:eastAsia="宋体" w:cs="Times New Roman"/>
                      <w:color w:val="auto"/>
                      <w:sz w:val="21"/>
                      <w:szCs w:val="21"/>
                      <w:highlight w:val="none"/>
                      <w:lang w:val="en-US" w:eastAsia="zh-CN"/>
                    </w:rPr>
                    <w:t>暂存在带盖塑料桶内，及时</w:t>
                  </w:r>
                  <w:r>
                    <w:rPr>
                      <w:rFonts w:hint="eastAsia" w:eastAsia="宋体" w:cs="Times New Roman"/>
                      <w:color w:val="auto"/>
                      <w:sz w:val="21"/>
                      <w:szCs w:val="21"/>
                      <w:highlight w:val="none"/>
                      <w:lang w:val="en-US" w:eastAsia="zh-CN"/>
                    </w:rPr>
                    <w:t>封盖并做到</w:t>
                  </w:r>
                  <w:r>
                    <w:rPr>
                      <w:rFonts w:hint="eastAsia" w:ascii="Times New Roman" w:hAnsi="Times New Roman" w:eastAsia="宋体" w:cs="Times New Roman"/>
                      <w:color w:val="auto"/>
                      <w:sz w:val="21"/>
                      <w:szCs w:val="21"/>
                      <w:highlight w:val="none"/>
                      <w:lang w:val="en-US" w:eastAsia="zh-CN"/>
                    </w:rPr>
                    <w:t>日产日清；</w:t>
                  </w:r>
                  <w:r>
                    <w:rPr>
                      <w:rFonts w:hint="eastAsia" w:ascii="Times New Roman" w:hAnsi="Times New Roman" w:cs="Times New Roman"/>
                      <w:color w:val="auto"/>
                      <w:sz w:val="21"/>
                      <w:szCs w:val="21"/>
                      <w:highlight w:val="none"/>
                      <w:lang w:eastAsia="zh-CN"/>
                    </w:rPr>
                    <w:t>项目车间整体密闭，车间内设置机械排风设施，脱醇废气经设备自带的冷凝回收装置处理后无组织排放，生产过程中发酵环节产生的少量废气和残渣堆存废气由车间通风换气后无组织排放；</w:t>
                  </w:r>
                  <w:r>
                    <w:rPr>
                      <w:rFonts w:hint="eastAsia" w:ascii="Times New Roman" w:hAnsi="Times New Roman" w:cs="Times New Roman"/>
                      <w:color w:val="FF0000"/>
                      <w:sz w:val="21"/>
                      <w:szCs w:val="21"/>
                      <w:highlight w:val="none"/>
                      <w:lang w:val="en-US" w:eastAsia="zh-CN"/>
                    </w:rPr>
                    <w:t>设备清洗废水、试验仪器清洗废水、空瓶清洗废水和纯水制备浓水经废水收集桶收集委托检测单位检测合格符合佛坪县污水处理厂进水水质要求后，通过罐车拉运至佛坪县污水处理厂处理；化验过程产生的试验废液属于危险废物，采用密闭周转桶、防渗托盘，产生后及时委托有资质单位转运处置，不得在厂内长期暂存；剩余少量纯水制备浓水经废水收集桶收集后用于冲厕</w:t>
                  </w:r>
                  <w:r>
                    <w:rPr>
                      <w:rFonts w:hint="eastAsia" w:ascii="Times New Roman" w:hAnsi="Times New Roman" w:cs="Times New Roman"/>
                      <w:color w:val="FF0000"/>
                      <w:sz w:val="21"/>
                      <w:szCs w:val="21"/>
                      <w:highlight w:val="none"/>
                      <w:lang w:eastAsia="zh-CN"/>
                    </w:rPr>
                    <w:t>。</w:t>
                  </w:r>
                  <w:r>
                    <w:rPr>
                      <w:rFonts w:hint="eastAsia" w:ascii="Times New Roman" w:hAnsi="Times New Roman" w:cs="Times New Roman"/>
                      <w:color w:val="auto"/>
                      <w:sz w:val="21"/>
                      <w:szCs w:val="21"/>
                      <w:highlight w:val="none"/>
                      <w:lang w:eastAsia="zh-CN"/>
                    </w:rPr>
                    <w:t>一般固废暂存于一般固废暂存间后定期处置，危险废物</w:t>
                  </w:r>
                  <w:r>
                    <w:rPr>
                      <w:rFonts w:hint="default" w:ascii="Times New Roman" w:hAnsi="Times New Roman" w:eastAsia="宋体" w:cs="Times New Roman"/>
                      <w:b w:val="0"/>
                      <w:bCs w:val="0"/>
                      <w:color w:val="auto"/>
                      <w:sz w:val="21"/>
                      <w:szCs w:val="21"/>
                      <w:highlight w:val="none"/>
                    </w:rPr>
                    <w:t>采用密闭周转桶、防渗托盘，</w:t>
                  </w:r>
                  <w:r>
                    <w:rPr>
                      <w:rFonts w:hint="eastAsia" w:ascii="Times New Roman" w:hAnsi="Times New Roman" w:cs="Times New Roman"/>
                      <w:b w:val="0"/>
                      <w:bCs w:val="0"/>
                      <w:color w:val="auto"/>
                      <w:sz w:val="21"/>
                      <w:szCs w:val="21"/>
                      <w:highlight w:val="none"/>
                      <w:lang w:eastAsia="zh-CN"/>
                    </w:rPr>
                    <w:t>产生后及时</w:t>
                  </w:r>
                  <w:r>
                    <w:rPr>
                      <w:rFonts w:hint="default" w:ascii="Times New Roman" w:hAnsi="Times New Roman" w:eastAsia="宋体" w:cs="Times New Roman"/>
                      <w:b w:val="0"/>
                      <w:bCs w:val="0"/>
                      <w:color w:val="auto"/>
                      <w:sz w:val="21"/>
                      <w:szCs w:val="21"/>
                      <w:highlight w:val="none"/>
                    </w:rPr>
                    <w:t>委托有资质单位转运处置，不得</w:t>
                  </w:r>
                  <w:r>
                    <w:rPr>
                      <w:rFonts w:hint="eastAsia" w:ascii="Times New Roman" w:hAnsi="Times New Roman" w:cs="Times New Roman"/>
                      <w:b w:val="0"/>
                      <w:bCs w:val="0"/>
                      <w:color w:val="auto"/>
                      <w:sz w:val="21"/>
                      <w:szCs w:val="21"/>
                      <w:highlight w:val="none"/>
                      <w:lang w:eastAsia="zh-CN"/>
                    </w:rPr>
                    <w:t>在厂</w:t>
                  </w:r>
                  <w:r>
                    <w:rPr>
                      <w:rFonts w:hint="default" w:ascii="Times New Roman" w:hAnsi="Times New Roman" w:eastAsia="宋体" w:cs="Times New Roman"/>
                      <w:b w:val="0"/>
                      <w:bCs w:val="0"/>
                      <w:color w:val="auto"/>
                      <w:sz w:val="21"/>
                      <w:szCs w:val="21"/>
                      <w:highlight w:val="none"/>
                    </w:rPr>
                    <w:t>内长期暂存</w:t>
                  </w:r>
                  <w:r>
                    <w:rPr>
                      <w:rFonts w:hint="eastAsia" w:ascii="Times New Roman" w:hAnsi="Times New Roman" w:cs="Times New Roman"/>
                      <w:color w:val="auto"/>
                      <w:sz w:val="21"/>
                      <w:szCs w:val="21"/>
                      <w:highlight w:val="none"/>
                      <w:lang w:eastAsia="zh-CN"/>
                    </w:rPr>
                    <w:t>，通过采取生态环境保护措施，保护秦岭生态功能不降低。</w:t>
                  </w:r>
                </w:p>
              </w:tc>
              <w:tc>
                <w:tcPr>
                  <w:tcW w:w="304" w:type="pct"/>
                  <w:tcBorders>
                    <w:tl2br w:val="nil"/>
                    <w:tr2bl w:val="nil"/>
                  </w:tcBorders>
                  <w:vAlign w:val="center"/>
                </w:tcPr>
                <w:p w14:paraId="4EE4D518">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auto"/>
                      <w:sz w:val="21"/>
                      <w:szCs w:val="21"/>
                      <w:lang w:eastAsia="zh-CN"/>
                    </w:rPr>
                  </w:pPr>
                  <w:r>
                    <w:rPr>
                      <w:rFonts w:hint="eastAsia" w:ascii="Times New Roman" w:hAnsi="Times New Roman" w:cs="Times New Roman"/>
                      <w:b w:val="0"/>
                      <w:bCs w:val="0"/>
                      <w:color w:val="auto"/>
                      <w:sz w:val="21"/>
                      <w:szCs w:val="21"/>
                      <w:lang w:eastAsia="zh-CN"/>
                    </w:rPr>
                    <w:t>符合</w:t>
                  </w:r>
                </w:p>
              </w:tc>
            </w:tr>
            <w:tr w14:paraId="7E1E49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21" w:type="pct"/>
                  <w:tcBorders>
                    <w:tl2br w:val="nil"/>
                    <w:tr2bl w:val="nil"/>
                  </w:tcBorders>
                  <w:vAlign w:val="center"/>
                </w:tcPr>
                <w:p w14:paraId="0F19CB24">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auto"/>
                      <w:sz w:val="21"/>
                      <w:szCs w:val="21"/>
                      <w:lang w:eastAsia="zh-CN"/>
                    </w:rPr>
                  </w:pPr>
                  <w:r>
                    <w:rPr>
                      <w:rFonts w:hint="eastAsia" w:ascii="Times New Roman" w:hAnsi="Times New Roman" w:cs="Times New Roman"/>
                      <w:b w:val="0"/>
                      <w:bCs w:val="0"/>
                      <w:color w:val="auto"/>
                      <w:sz w:val="21"/>
                      <w:szCs w:val="21"/>
                      <w:lang w:eastAsia="zh-CN"/>
                    </w:rPr>
                    <w:t>《陕西省秦岭生态保护总体规划》</w:t>
                  </w:r>
                </w:p>
              </w:tc>
              <w:tc>
                <w:tcPr>
                  <w:tcW w:w="2175" w:type="pct"/>
                  <w:tcBorders>
                    <w:tl2br w:val="nil"/>
                    <w:tr2bl w:val="nil"/>
                  </w:tcBorders>
                  <w:vAlign w:val="center"/>
                </w:tcPr>
                <w:p w14:paraId="643E75F7">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auto"/>
                      <w:sz w:val="21"/>
                      <w:szCs w:val="21"/>
                      <w:lang w:eastAsia="zh-CN"/>
                    </w:rPr>
                  </w:pPr>
                  <w:r>
                    <w:rPr>
                      <w:rFonts w:hint="eastAsia" w:ascii="Times New Roman" w:hAnsi="Times New Roman" w:cs="Times New Roman"/>
                      <w:b w:val="0"/>
                      <w:bCs w:val="0"/>
                      <w:color w:val="auto"/>
                      <w:sz w:val="21"/>
                      <w:szCs w:val="21"/>
                      <w:lang w:eastAsia="zh-CN"/>
                    </w:rPr>
                    <w:t>推进中药材产业基地建设，发展天麻、杜仲、元胡、山茱萸、西洋参、大黄、附子、银杏、黄姜、绞股蓝、丹参、五味子、连翘、黄芩、猪苓等道地药材规模化种植和精深加工，在重点药材产区建立中药产业园区，完善中药材仓储、物流、交易体系，形成地区性集聚辐射效应，促进中药材产业提质增效和药农持续增收。</w:t>
                  </w:r>
                </w:p>
              </w:tc>
              <w:tc>
                <w:tcPr>
                  <w:tcW w:w="1698" w:type="pct"/>
                  <w:tcBorders>
                    <w:tl2br w:val="nil"/>
                    <w:tr2bl w:val="nil"/>
                  </w:tcBorders>
                  <w:vAlign w:val="center"/>
                </w:tcPr>
                <w:p w14:paraId="065E0D70">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GB" w:eastAsia="zh-CN" w:bidi="ar-SA"/>
                    </w:rPr>
                  </w:pPr>
                  <w:r>
                    <w:rPr>
                      <w:rFonts w:hint="eastAsia" w:ascii="Times New Roman" w:hAnsi="Times New Roman" w:cs="Times New Roman"/>
                      <w:color w:val="auto"/>
                      <w:sz w:val="21"/>
                      <w:szCs w:val="21"/>
                    </w:rPr>
                    <w:t>本项目属于</w:t>
                  </w:r>
                  <w:r>
                    <w:rPr>
                      <w:rFonts w:hint="eastAsia" w:ascii="Times New Roman" w:hAnsi="Times New Roman" w:cs="Times New Roman"/>
                      <w:color w:val="auto"/>
                      <w:sz w:val="21"/>
                      <w:szCs w:val="21"/>
                      <w:lang w:val="en-US" w:eastAsia="zh-CN"/>
                    </w:rPr>
                    <w:t>C1519其他酒制造，以山茱萸作为原材料，进行发酵、粗滤、脱醇等工序，制成山茱萸发酵（脱醇）酒，属于对山茱萸进行精深加工；本产品所用山茱萸也属于中药材的一种，本项目建设有利于促进山茱萸产业提质增效和药农持续增收。</w:t>
                  </w:r>
                </w:p>
              </w:tc>
              <w:tc>
                <w:tcPr>
                  <w:tcW w:w="304" w:type="pct"/>
                  <w:tcBorders>
                    <w:tl2br w:val="nil"/>
                    <w:tr2bl w:val="nil"/>
                  </w:tcBorders>
                  <w:vAlign w:val="center"/>
                </w:tcPr>
                <w:p w14:paraId="02427A9C">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auto"/>
                      <w:sz w:val="21"/>
                      <w:szCs w:val="21"/>
                      <w:lang w:eastAsia="zh-CN"/>
                    </w:rPr>
                  </w:pPr>
                  <w:r>
                    <w:rPr>
                      <w:rFonts w:hint="eastAsia" w:ascii="Times New Roman" w:hAnsi="Times New Roman" w:cs="Times New Roman"/>
                      <w:b w:val="0"/>
                      <w:bCs w:val="0"/>
                      <w:color w:val="auto"/>
                      <w:sz w:val="21"/>
                      <w:szCs w:val="21"/>
                      <w:lang w:eastAsia="zh-CN"/>
                    </w:rPr>
                    <w:t>符合</w:t>
                  </w:r>
                </w:p>
              </w:tc>
            </w:tr>
            <w:tr w14:paraId="2A823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821" w:type="pct"/>
                  <w:vMerge w:val="restart"/>
                  <w:tcBorders>
                    <w:tl2br w:val="nil"/>
                    <w:tr2bl w:val="nil"/>
                  </w:tcBorders>
                  <w:vAlign w:val="center"/>
                </w:tcPr>
                <w:p w14:paraId="757592CD">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sz w:val="21"/>
                      <w:szCs w:val="21"/>
                      <w:lang w:val="en-US" w:eastAsia="zh-CN"/>
                    </w:rPr>
                  </w:pPr>
                  <w:r>
                    <w:rPr>
                      <w:rFonts w:hint="eastAsia" w:ascii="Times New Roman" w:hAnsi="Times New Roman" w:cs="Times New Roman"/>
                      <w:b w:val="0"/>
                      <w:bCs w:val="0"/>
                      <w:color w:val="FF0000"/>
                      <w:sz w:val="21"/>
                      <w:szCs w:val="21"/>
                      <w:lang w:val="en-US" w:eastAsia="zh-CN"/>
                    </w:rPr>
                    <w:t>《食品安全国家标准 食品生产通用卫生规范》（GB14881-2013）</w:t>
                  </w:r>
                </w:p>
              </w:tc>
              <w:tc>
                <w:tcPr>
                  <w:tcW w:w="2175" w:type="pct"/>
                  <w:tcBorders>
                    <w:tl2br w:val="nil"/>
                    <w:tr2bl w:val="nil"/>
                  </w:tcBorders>
                  <w:vAlign w:val="center"/>
                </w:tcPr>
                <w:p w14:paraId="2077D200">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FF0000"/>
                      <w:sz w:val="21"/>
                      <w:szCs w:val="21"/>
                      <w:lang w:val="en-US" w:eastAsia="zh-CN"/>
                    </w:rPr>
                  </w:pPr>
                  <w:r>
                    <w:rPr>
                      <w:rFonts w:hint="eastAsia" w:ascii="Times New Roman" w:hAnsi="Times New Roman" w:cs="Times New Roman"/>
                      <w:b w:val="0"/>
                      <w:bCs w:val="0"/>
                      <w:color w:val="FF0000"/>
                      <w:sz w:val="21"/>
                      <w:szCs w:val="21"/>
                      <w:lang w:val="en-US" w:eastAsia="zh-CN"/>
                    </w:rPr>
                    <w:t>3.1选址</w:t>
                  </w:r>
                </w:p>
                <w:p w14:paraId="0EE98F86">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FF0000"/>
                      <w:sz w:val="21"/>
                      <w:szCs w:val="21"/>
                      <w:lang w:val="en-US" w:eastAsia="zh-CN"/>
                    </w:rPr>
                  </w:pPr>
                  <w:r>
                    <w:rPr>
                      <w:rFonts w:hint="eastAsia" w:ascii="Times New Roman" w:hAnsi="Times New Roman" w:cs="Times New Roman"/>
                      <w:b w:val="0"/>
                      <w:bCs w:val="0"/>
                      <w:color w:val="FF0000"/>
                      <w:sz w:val="21"/>
                      <w:szCs w:val="21"/>
                      <w:lang w:val="en-US" w:eastAsia="zh-CN"/>
                    </w:rPr>
                    <w:t>3.1.1厂区不应选择对食品有显著污染的区域。如某地对食品安全和食品宜食用性存在明显的不利影响，且无法通过采取措施加以改善，应避免在该地址建厂。</w:t>
                  </w:r>
                </w:p>
                <w:p w14:paraId="7F228353">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FF0000"/>
                      <w:sz w:val="21"/>
                      <w:szCs w:val="21"/>
                      <w:lang w:val="en-US" w:eastAsia="zh-CN"/>
                    </w:rPr>
                  </w:pPr>
                  <w:r>
                    <w:rPr>
                      <w:rFonts w:hint="eastAsia" w:ascii="Times New Roman" w:hAnsi="Times New Roman" w:cs="Times New Roman"/>
                      <w:b w:val="0"/>
                      <w:bCs w:val="0"/>
                      <w:color w:val="FF0000"/>
                      <w:sz w:val="21"/>
                      <w:szCs w:val="21"/>
                      <w:lang w:val="en-US" w:eastAsia="zh-CN"/>
                    </w:rPr>
                    <w:t>3.1.2厂区不应选择有害废弃物以及粉尘、有害气体、放射性物质和其他扩散性污染源不能有效清除的地址。</w:t>
                  </w:r>
                </w:p>
                <w:p w14:paraId="7DFDB6F0">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 w:val="0"/>
                      <w:bCs w:val="0"/>
                      <w:color w:val="FF0000"/>
                      <w:sz w:val="21"/>
                      <w:szCs w:val="21"/>
                      <w:lang w:val="en-US" w:eastAsia="zh-CN"/>
                    </w:rPr>
                  </w:pPr>
                  <w:r>
                    <w:rPr>
                      <w:rFonts w:hint="eastAsia" w:ascii="Times New Roman" w:hAnsi="Times New Roman" w:cs="Times New Roman"/>
                      <w:b w:val="0"/>
                      <w:bCs w:val="0"/>
                      <w:color w:val="FF0000"/>
                      <w:sz w:val="21"/>
                      <w:szCs w:val="21"/>
                      <w:lang w:val="en-US" w:eastAsia="zh-CN"/>
                    </w:rPr>
                    <w:t>3.1.4厂区周围不宜有虫害大量孳生的潜在场所，难以避开时应设计必要的防范措施。</w:t>
                  </w:r>
                </w:p>
              </w:tc>
              <w:tc>
                <w:tcPr>
                  <w:tcW w:w="1698" w:type="pct"/>
                  <w:tcBorders>
                    <w:tl2br w:val="nil"/>
                    <w:tr2bl w:val="nil"/>
                  </w:tcBorders>
                  <w:vAlign w:val="center"/>
                </w:tcPr>
                <w:p w14:paraId="3E05D25F">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FF0000"/>
                      <w:sz w:val="21"/>
                      <w:szCs w:val="21"/>
                      <w:lang w:eastAsia="zh-CN"/>
                    </w:rPr>
                  </w:pPr>
                  <w:r>
                    <w:rPr>
                      <w:rFonts w:hint="eastAsia" w:ascii="Times New Roman" w:hAnsi="Times New Roman" w:cs="Times New Roman"/>
                      <w:color w:val="FF0000"/>
                      <w:sz w:val="21"/>
                      <w:szCs w:val="21"/>
                      <w:lang w:eastAsia="zh-CN"/>
                    </w:rPr>
                    <w:t>本项目建设地点位于</w:t>
                  </w:r>
                  <w:r>
                    <w:rPr>
                      <w:rFonts w:hint="default" w:ascii="Times New Roman" w:hAnsi="Times New Roman" w:eastAsia="宋体" w:cs="Times New Roman"/>
                      <w:color w:val="FF0000"/>
                      <w:kern w:val="0"/>
                      <w:sz w:val="21"/>
                      <w:szCs w:val="21"/>
                      <w:lang w:val="en-GB" w:eastAsia="zh-TW" w:bidi="ar-SA"/>
                    </w:rPr>
                    <w:t>陕西省汉中市佛坪县袁家庄街道办塘湾路</w:t>
                  </w:r>
                  <w:r>
                    <w:rPr>
                      <w:rFonts w:hint="eastAsia" w:cs="Times New Roman"/>
                      <w:color w:val="FF0000"/>
                      <w:kern w:val="0"/>
                      <w:sz w:val="21"/>
                      <w:szCs w:val="21"/>
                      <w:lang w:val="en-US" w:eastAsia="zh-CN" w:bidi="ar-SA"/>
                    </w:rPr>
                    <w:t>38</w:t>
                  </w:r>
                  <w:r>
                    <w:rPr>
                      <w:rFonts w:hint="default" w:ascii="Times New Roman" w:hAnsi="Times New Roman" w:eastAsia="宋体" w:cs="Times New Roman"/>
                      <w:color w:val="FF0000"/>
                      <w:kern w:val="0"/>
                      <w:sz w:val="21"/>
                      <w:szCs w:val="21"/>
                      <w:lang w:val="en-GB" w:eastAsia="zh-TW" w:bidi="ar-SA"/>
                    </w:rPr>
                    <w:t>号</w:t>
                  </w:r>
                  <w:r>
                    <w:rPr>
                      <w:rFonts w:hint="eastAsia" w:ascii="Times New Roman" w:hAnsi="Times New Roman" w:cs="Times New Roman"/>
                      <w:color w:val="FF0000"/>
                      <w:kern w:val="0"/>
                      <w:sz w:val="21"/>
                      <w:szCs w:val="21"/>
                      <w:lang w:val="en-GB" w:eastAsia="zh-CN" w:bidi="ar-SA"/>
                    </w:rPr>
                    <w:t>，用地性质为工业用地，根据现场踏勘，厂区附近不存在对食品有显著污染的区域，同时也不产生</w:t>
                  </w:r>
                  <w:r>
                    <w:rPr>
                      <w:rFonts w:hint="eastAsia" w:ascii="Times New Roman" w:hAnsi="Times New Roman" w:cs="Times New Roman"/>
                      <w:b w:val="0"/>
                      <w:bCs w:val="0"/>
                      <w:color w:val="FF0000"/>
                      <w:sz w:val="21"/>
                      <w:szCs w:val="21"/>
                      <w:lang w:val="en-US" w:eastAsia="zh-CN"/>
                    </w:rPr>
                    <w:t>粉尘、有害气体、放射性物质和其他扩散性污染源</w:t>
                  </w:r>
                  <w:r>
                    <w:rPr>
                      <w:rFonts w:hint="eastAsia" w:ascii="Times New Roman" w:hAnsi="Times New Roman" w:cs="Times New Roman"/>
                      <w:color w:val="FF0000"/>
                      <w:kern w:val="0"/>
                      <w:sz w:val="21"/>
                      <w:szCs w:val="21"/>
                      <w:lang w:val="en-GB" w:eastAsia="zh-CN" w:bidi="ar-SA"/>
                    </w:rPr>
                    <w:t>，不存在</w:t>
                  </w:r>
                  <w:r>
                    <w:rPr>
                      <w:rFonts w:hint="eastAsia" w:ascii="Times New Roman" w:hAnsi="Times New Roman" w:cs="Times New Roman"/>
                      <w:b w:val="0"/>
                      <w:bCs w:val="0"/>
                      <w:color w:val="FF0000"/>
                      <w:sz w:val="21"/>
                      <w:szCs w:val="21"/>
                      <w:lang w:val="en-US" w:eastAsia="zh-CN"/>
                    </w:rPr>
                    <w:t>虫害大量孳生的潜在场所，生产过程中产生的危险废物及时委托有资质单位处置，</w:t>
                  </w:r>
                  <w:r>
                    <w:rPr>
                      <w:rFonts w:hint="eastAsia" w:ascii="Times New Roman" w:hAnsi="Times New Roman" w:cs="Times New Roman"/>
                      <w:color w:val="FF0000"/>
                      <w:kern w:val="0"/>
                      <w:sz w:val="21"/>
                      <w:szCs w:val="21"/>
                      <w:lang w:val="en-GB" w:eastAsia="zh-CN" w:bidi="ar-SA"/>
                    </w:rPr>
                    <w:t>四邻主要为酒店、气象局以及居民区，综上所述，本项目选址可行。</w:t>
                  </w:r>
                </w:p>
              </w:tc>
              <w:tc>
                <w:tcPr>
                  <w:tcW w:w="304" w:type="pct"/>
                  <w:tcBorders>
                    <w:tl2br w:val="nil"/>
                    <w:tr2bl w:val="nil"/>
                  </w:tcBorders>
                  <w:vAlign w:val="center"/>
                </w:tcPr>
                <w:p w14:paraId="61C4325D">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FF0000"/>
                      <w:sz w:val="21"/>
                      <w:szCs w:val="21"/>
                      <w:lang w:eastAsia="zh-CN"/>
                    </w:rPr>
                  </w:pPr>
                  <w:r>
                    <w:rPr>
                      <w:rFonts w:hint="eastAsia" w:ascii="Times New Roman" w:hAnsi="Times New Roman" w:cs="Times New Roman"/>
                      <w:b w:val="0"/>
                      <w:bCs w:val="0"/>
                      <w:color w:val="FF0000"/>
                      <w:sz w:val="21"/>
                      <w:szCs w:val="21"/>
                      <w:lang w:eastAsia="zh-CN"/>
                    </w:rPr>
                    <w:t>符合</w:t>
                  </w:r>
                </w:p>
              </w:tc>
            </w:tr>
            <w:tr w14:paraId="398712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821" w:type="pct"/>
                  <w:vMerge w:val="continue"/>
                  <w:tcBorders>
                    <w:tl2br w:val="nil"/>
                    <w:tr2bl w:val="nil"/>
                  </w:tcBorders>
                  <w:vAlign w:val="center"/>
                </w:tcPr>
                <w:p w14:paraId="17893D89">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color w:val="FF0000"/>
                    </w:rPr>
                  </w:pPr>
                </w:p>
              </w:tc>
              <w:tc>
                <w:tcPr>
                  <w:tcW w:w="2175" w:type="pct"/>
                  <w:tcBorders>
                    <w:tl2br w:val="nil"/>
                    <w:tr2bl w:val="nil"/>
                  </w:tcBorders>
                  <w:vAlign w:val="center"/>
                </w:tcPr>
                <w:p w14:paraId="3610DD95">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FF0000"/>
                      <w:sz w:val="21"/>
                      <w:szCs w:val="21"/>
                      <w:lang w:val="en-US" w:eastAsia="zh-CN"/>
                    </w:rPr>
                  </w:pPr>
                  <w:r>
                    <w:rPr>
                      <w:rFonts w:hint="eastAsia" w:ascii="Times New Roman" w:hAnsi="Times New Roman" w:cs="Times New Roman"/>
                      <w:b w:val="0"/>
                      <w:bCs w:val="0"/>
                      <w:color w:val="FF0000"/>
                      <w:sz w:val="21"/>
                      <w:szCs w:val="21"/>
                      <w:lang w:val="en-US" w:eastAsia="zh-CN"/>
                    </w:rPr>
                    <w:t>4.1设计和布局</w:t>
                  </w:r>
                </w:p>
                <w:p w14:paraId="6CD4FC37">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FF0000"/>
                      <w:sz w:val="21"/>
                      <w:szCs w:val="21"/>
                      <w:lang w:val="en-US" w:eastAsia="zh-CN"/>
                    </w:rPr>
                  </w:pPr>
                  <w:r>
                    <w:rPr>
                      <w:rFonts w:hint="eastAsia" w:ascii="Times New Roman" w:hAnsi="Times New Roman" w:cs="Times New Roman"/>
                      <w:b w:val="0"/>
                      <w:bCs w:val="0"/>
                      <w:color w:val="FF0000"/>
                      <w:sz w:val="21"/>
                      <w:szCs w:val="21"/>
                      <w:lang w:val="en-US" w:eastAsia="zh-CN"/>
                    </w:rPr>
                    <w:t>4.1.1厂房和车间的内部设计和布局应满足食品卫生操作要求，避免食品生产中发生交叉污染。</w:t>
                  </w:r>
                </w:p>
                <w:p w14:paraId="0FE50CF1">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 w:val="0"/>
                      <w:bCs w:val="0"/>
                      <w:color w:val="FF0000"/>
                      <w:sz w:val="21"/>
                      <w:szCs w:val="21"/>
                      <w:lang w:val="en-US" w:eastAsia="zh-CN"/>
                    </w:rPr>
                  </w:pPr>
                  <w:r>
                    <w:rPr>
                      <w:rFonts w:hint="eastAsia" w:ascii="Times New Roman" w:hAnsi="Times New Roman" w:cs="Times New Roman"/>
                      <w:b w:val="0"/>
                      <w:bCs w:val="0"/>
                      <w:color w:val="FF0000"/>
                      <w:sz w:val="21"/>
                      <w:szCs w:val="21"/>
                      <w:lang w:val="en-US" w:eastAsia="zh-CN"/>
                    </w:rPr>
                    <w:t>4.1.2厂房和车间的设计应根据生产工艺合理布局，预防和降低产品受污染的风险。</w:t>
                  </w:r>
                </w:p>
              </w:tc>
              <w:tc>
                <w:tcPr>
                  <w:tcW w:w="1698" w:type="pct"/>
                  <w:tcBorders>
                    <w:tl2br w:val="nil"/>
                    <w:tr2bl w:val="nil"/>
                  </w:tcBorders>
                  <w:vAlign w:val="center"/>
                </w:tcPr>
                <w:p w14:paraId="11F018DA">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FF0000"/>
                      <w:sz w:val="21"/>
                      <w:szCs w:val="21"/>
                      <w:lang w:val="en-US" w:eastAsia="zh-CN"/>
                    </w:rPr>
                  </w:pPr>
                  <w:r>
                    <w:rPr>
                      <w:rFonts w:hint="eastAsia" w:ascii="Times New Roman" w:hAnsi="Times New Roman" w:cs="Times New Roman"/>
                      <w:b w:val="0"/>
                      <w:bCs w:val="0"/>
                      <w:color w:val="FF0000"/>
                      <w:sz w:val="21"/>
                      <w:szCs w:val="21"/>
                      <w:lang w:val="en-US" w:eastAsia="zh-CN"/>
                    </w:rPr>
                    <w:t>本项目厂房和车间的设计严格按照食品卫生操作要求，各功能间均隔开，防止生产过程中发生交叉污染，同时根据生产工艺流程进行布局，有效预防和降低产品受污染的风险。</w:t>
                  </w:r>
                </w:p>
              </w:tc>
              <w:tc>
                <w:tcPr>
                  <w:tcW w:w="304" w:type="pct"/>
                  <w:tcBorders>
                    <w:tl2br w:val="nil"/>
                    <w:tr2bl w:val="nil"/>
                  </w:tcBorders>
                  <w:vAlign w:val="center"/>
                </w:tcPr>
                <w:p w14:paraId="185B415F">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FF0000"/>
                      <w:sz w:val="21"/>
                      <w:szCs w:val="21"/>
                      <w:lang w:val="en-US" w:eastAsia="zh-CN"/>
                    </w:rPr>
                  </w:pPr>
                  <w:r>
                    <w:rPr>
                      <w:rFonts w:hint="eastAsia" w:ascii="Times New Roman" w:hAnsi="Times New Roman" w:cs="Times New Roman"/>
                      <w:b w:val="0"/>
                      <w:bCs w:val="0"/>
                      <w:color w:val="FF0000"/>
                      <w:sz w:val="21"/>
                      <w:szCs w:val="21"/>
                      <w:lang w:val="en-US" w:eastAsia="zh-CN"/>
                    </w:rPr>
                    <w:t>符合</w:t>
                  </w:r>
                </w:p>
              </w:tc>
            </w:tr>
            <w:tr w14:paraId="07FC0A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821" w:type="pct"/>
                  <w:vMerge w:val="restart"/>
                  <w:tcBorders>
                    <w:tl2br w:val="nil"/>
                    <w:tr2bl w:val="nil"/>
                  </w:tcBorders>
                  <w:vAlign w:val="center"/>
                </w:tcPr>
                <w:p w14:paraId="79A1B794">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eastAsia" w:ascii="Times New Roman" w:hAnsi="Times New Roman" w:eastAsia="宋体" w:cs="Times New Roman"/>
                      <w:color w:val="auto"/>
                      <w:kern w:val="2"/>
                      <w:sz w:val="21"/>
                      <w:szCs w:val="21"/>
                      <w:lang w:val="en-US" w:eastAsia="zh-CN" w:bidi="ar-SA"/>
                    </w:rPr>
                    <w:t>《关于发布</w:t>
                  </w:r>
                  <w:r>
                    <w:rPr>
                      <w:rFonts w:hint="default" w:ascii="Times New Roman" w:hAnsi="Times New Roman" w:eastAsia="宋体" w:cs="Times New Roman"/>
                      <w:color w:val="auto"/>
                      <w:kern w:val="2"/>
                      <w:sz w:val="21"/>
                      <w:szCs w:val="21"/>
                      <w:lang w:val="en-US" w:eastAsia="zh-CN" w:bidi="ar-SA"/>
                    </w:rPr>
                    <w:t>&lt;</w:t>
                  </w:r>
                  <w:r>
                    <w:rPr>
                      <w:rFonts w:hint="eastAsia" w:ascii="Times New Roman" w:hAnsi="Times New Roman" w:eastAsia="宋体" w:cs="Times New Roman"/>
                      <w:color w:val="auto"/>
                      <w:kern w:val="2"/>
                      <w:sz w:val="21"/>
                      <w:szCs w:val="21"/>
                      <w:lang w:val="en-US" w:eastAsia="zh-CN" w:bidi="ar-SA"/>
                    </w:rPr>
                    <w:t>饮料酒制造业污染防治技术政策</w:t>
                  </w:r>
                  <w:r>
                    <w:rPr>
                      <w:rFonts w:hint="default" w:ascii="Times New Roman" w:hAnsi="Times New Roman" w:eastAsia="宋体" w:cs="Times New Roman"/>
                      <w:color w:val="auto"/>
                      <w:kern w:val="2"/>
                      <w:sz w:val="21"/>
                      <w:szCs w:val="21"/>
                      <w:lang w:val="en-US" w:eastAsia="zh-CN" w:bidi="ar-SA"/>
                    </w:rPr>
                    <w:t>&gt;</w:t>
                  </w:r>
                  <w:r>
                    <w:rPr>
                      <w:rFonts w:hint="eastAsia" w:ascii="Times New Roman" w:hAnsi="Times New Roman" w:eastAsia="宋体" w:cs="Times New Roman"/>
                      <w:color w:val="auto"/>
                      <w:kern w:val="2"/>
                      <w:sz w:val="21"/>
                      <w:szCs w:val="21"/>
                      <w:lang w:val="en-US" w:eastAsia="zh-CN" w:bidi="ar-SA"/>
                    </w:rPr>
                    <w:t>的公告》（公告</w:t>
                  </w:r>
                  <w:r>
                    <w:rPr>
                      <w:rFonts w:hint="default" w:ascii="Times New Roman" w:hAnsi="Times New Roman" w:eastAsia="宋体" w:cs="Times New Roman"/>
                      <w:color w:val="auto"/>
                      <w:kern w:val="2"/>
                      <w:sz w:val="21"/>
                      <w:szCs w:val="21"/>
                      <w:lang w:val="en-US" w:eastAsia="zh-CN" w:bidi="ar-SA"/>
                    </w:rPr>
                    <w:t>2018</w:t>
                  </w:r>
                  <w:r>
                    <w:rPr>
                      <w:rFonts w:hint="eastAsia" w:ascii="Times New Roman" w:hAnsi="Times New Roman" w:eastAsia="宋体" w:cs="Times New Roman"/>
                      <w:color w:val="auto"/>
                      <w:kern w:val="2"/>
                      <w:sz w:val="21"/>
                      <w:szCs w:val="21"/>
                      <w:lang w:val="en-US" w:eastAsia="zh-CN" w:bidi="ar-SA"/>
                    </w:rPr>
                    <w:t>年第</w:t>
                  </w:r>
                  <w:r>
                    <w:rPr>
                      <w:rFonts w:hint="default" w:ascii="Times New Roman" w:hAnsi="Times New Roman" w:eastAsia="宋体" w:cs="Times New Roman"/>
                      <w:color w:val="auto"/>
                      <w:kern w:val="2"/>
                      <w:sz w:val="21"/>
                      <w:szCs w:val="21"/>
                      <w:lang w:val="en-US" w:eastAsia="zh-CN" w:bidi="ar-SA"/>
                    </w:rPr>
                    <w:t>7</w:t>
                  </w:r>
                  <w:r>
                    <w:rPr>
                      <w:rFonts w:hint="eastAsia" w:ascii="Times New Roman" w:hAnsi="Times New Roman" w:eastAsia="宋体" w:cs="Times New Roman"/>
                      <w:color w:val="auto"/>
                      <w:kern w:val="2"/>
                      <w:sz w:val="21"/>
                      <w:szCs w:val="21"/>
                      <w:lang w:val="en-US" w:eastAsia="zh-CN" w:bidi="ar-SA"/>
                    </w:rPr>
                    <w:t>号）</w:t>
                  </w:r>
                </w:p>
              </w:tc>
              <w:tc>
                <w:tcPr>
                  <w:tcW w:w="2175" w:type="pct"/>
                  <w:tcBorders>
                    <w:tl2br w:val="nil"/>
                    <w:tr2bl w:val="nil"/>
                  </w:tcBorders>
                  <w:vAlign w:val="center"/>
                </w:tcPr>
                <w:p w14:paraId="1F4D33AB">
                  <w:pPr>
                    <w:pStyle w:val="63"/>
                    <w:keepNext w:val="0"/>
                    <w:keepLines w:val="0"/>
                    <w:pageBreakBefore w:val="0"/>
                    <w:kinsoku/>
                    <w:wordWrap/>
                    <w:overflowPunct/>
                    <w:topLinePunct w:val="0"/>
                    <w:bidi w:val="0"/>
                    <w:adjustRightInd w:val="0"/>
                    <w:snapToGrid w:val="0"/>
                    <w:spacing w:line="240" w:lineRule="auto"/>
                    <w:ind w:firstLine="0" w:firstLineChars="0"/>
                    <w:jc w:val="left"/>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二、源头及生产过程污染防控</w:t>
                  </w:r>
                </w:p>
                <w:p w14:paraId="2C561BCC">
                  <w:pPr>
                    <w:pStyle w:val="63"/>
                    <w:keepNext w:val="0"/>
                    <w:keepLines w:val="0"/>
                    <w:pageBreakBefore w:val="0"/>
                    <w:numPr>
                      <w:ilvl w:val="0"/>
                      <w:numId w:val="1"/>
                    </w:numPr>
                    <w:kinsoku/>
                    <w:wordWrap/>
                    <w:overflowPunct/>
                    <w:topLinePunct w:val="0"/>
                    <w:bidi w:val="0"/>
                    <w:adjustRightInd w:val="0"/>
                    <w:snapToGrid w:val="0"/>
                    <w:spacing w:line="240" w:lineRule="auto"/>
                    <w:ind w:firstLine="0" w:firstLineChars="0"/>
                    <w:jc w:val="left"/>
                    <w:textAlignment w:val="auto"/>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生产过程污染防控</w:t>
                  </w:r>
                </w:p>
                <w:p w14:paraId="2C162EDE">
                  <w:pPr>
                    <w:pStyle w:val="63"/>
                    <w:keepNext w:val="0"/>
                    <w:keepLines w:val="0"/>
                    <w:pageBreakBefore w:val="0"/>
                    <w:numPr>
                      <w:ilvl w:val="0"/>
                      <w:numId w:val="0"/>
                    </w:numPr>
                    <w:kinsoku/>
                    <w:wordWrap/>
                    <w:overflowPunct/>
                    <w:topLinePunct w:val="0"/>
                    <w:bidi w:val="0"/>
                    <w:adjustRightInd w:val="0"/>
                    <w:snapToGrid w:val="0"/>
                    <w:spacing w:line="240" w:lineRule="auto"/>
                    <w:jc w:val="left"/>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3.</w:t>
                  </w:r>
                  <w:r>
                    <w:rPr>
                      <w:rFonts w:hint="eastAsia" w:ascii="Times New Roman" w:hAnsi="Times New Roman" w:eastAsia="宋体" w:cs="Times New Roman"/>
                      <w:color w:val="auto"/>
                      <w:kern w:val="2"/>
                      <w:sz w:val="21"/>
                      <w:szCs w:val="21"/>
                      <w:lang w:val="en-US" w:eastAsia="zh-CN" w:bidi="ar-SA"/>
                    </w:rPr>
                    <w:t>葡萄酒与果酒制造业</w:t>
                  </w:r>
                </w:p>
                <w:p w14:paraId="2893B6DC">
                  <w:pPr>
                    <w:pStyle w:val="63"/>
                    <w:keepNext w:val="0"/>
                    <w:keepLines w:val="0"/>
                    <w:pageBreakBefore w:val="0"/>
                    <w:kinsoku/>
                    <w:wordWrap/>
                    <w:overflowPunct/>
                    <w:topLinePunct w:val="0"/>
                    <w:bidi w:val="0"/>
                    <w:adjustRightInd w:val="0"/>
                    <w:snapToGrid w:val="0"/>
                    <w:spacing w:line="240" w:lineRule="auto"/>
                    <w:ind w:firstLine="0" w:firstLineChars="0"/>
                    <w:jc w:val="left"/>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（4）</w:t>
                  </w:r>
                  <w:r>
                    <w:rPr>
                      <w:rFonts w:hint="eastAsia" w:ascii="Times New Roman" w:hAnsi="Times New Roman" w:eastAsia="宋体" w:cs="Times New Roman"/>
                      <w:color w:val="auto"/>
                      <w:kern w:val="2"/>
                      <w:sz w:val="21"/>
                      <w:szCs w:val="21"/>
                      <w:lang w:val="en-US" w:eastAsia="zh-CN" w:bidi="ar-SA"/>
                    </w:rPr>
                    <w:t>鼓励采用离心过滤等技术对酒泥和酒脚进行处理，提高出酒率。</w:t>
                  </w:r>
                </w:p>
                <w:p w14:paraId="44A9B30B">
                  <w:pPr>
                    <w:pStyle w:val="63"/>
                    <w:keepNext w:val="0"/>
                    <w:keepLines w:val="0"/>
                    <w:pageBreakBefore w:val="0"/>
                    <w:kinsoku/>
                    <w:wordWrap/>
                    <w:overflowPunct/>
                    <w:topLinePunct w:val="0"/>
                    <w:bidi w:val="0"/>
                    <w:adjustRightInd w:val="0"/>
                    <w:snapToGrid w:val="0"/>
                    <w:spacing w:line="240" w:lineRule="auto"/>
                    <w:ind w:firstLine="0" w:firstLineChars="0"/>
                    <w:jc w:val="left"/>
                    <w:textAlignment w:val="auto"/>
                    <w:rPr>
                      <w:rFonts w:hint="eastAsia" w:ascii="Times New Roman" w:hAnsi="Times New Roman" w:cs="Times New Roman"/>
                      <w:b/>
                      <w:bCs/>
                      <w:color w:val="auto"/>
                      <w:sz w:val="21"/>
                      <w:szCs w:val="21"/>
                      <w:lang w:val="en-US" w:eastAsia="zh-CN"/>
                    </w:rPr>
                  </w:pPr>
                  <w:r>
                    <w:rPr>
                      <w:rFonts w:hint="eastAsia" w:ascii="Times New Roman" w:hAnsi="Times New Roman" w:cs="Times New Roman"/>
                      <w:color w:val="auto"/>
                      <w:kern w:val="2"/>
                      <w:sz w:val="21"/>
                      <w:szCs w:val="21"/>
                      <w:lang w:val="en-US" w:eastAsia="zh-CN" w:bidi="ar-SA"/>
                    </w:rPr>
                    <w:t>（5）</w:t>
                  </w:r>
                  <w:r>
                    <w:rPr>
                      <w:rFonts w:hint="eastAsia" w:ascii="Times New Roman" w:hAnsi="Times New Roman" w:eastAsia="宋体" w:cs="Times New Roman"/>
                      <w:color w:val="auto"/>
                      <w:kern w:val="2"/>
                      <w:sz w:val="21"/>
                      <w:szCs w:val="21"/>
                      <w:lang w:val="en-US" w:eastAsia="zh-CN" w:bidi="ar-SA"/>
                    </w:rPr>
                    <w:t>鼓励采用臭氧消毒等先进高效的消毒技术，对灌装线进行杀菌消毒，降低综合能耗和水耗。</w:t>
                  </w:r>
                </w:p>
              </w:tc>
              <w:tc>
                <w:tcPr>
                  <w:tcW w:w="1698" w:type="pct"/>
                  <w:tcBorders>
                    <w:tl2br w:val="nil"/>
                    <w:tr2bl w:val="nil"/>
                  </w:tcBorders>
                  <w:vAlign w:val="center"/>
                </w:tcPr>
                <w:p w14:paraId="4004E4D4">
                  <w:pPr>
                    <w:pStyle w:val="6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eastAsia="zh-CN"/>
                    </w:rPr>
                    <w:t>本项目采用</w:t>
                  </w:r>
                  <w:r>
                    <w:rPr>
                      <w:rFonts w:hint="eastAsia" w:ascii="Times New Roman" w:hAnsi="Times New Roman" w:cs="Times New Roman"/>
                      <w:b w:val="0"/>
                      <w:bCs w:val="0"/>
                      <w:color w:val="auto"/>
                      <w:sz w:val="21"/>
                      <w:szCs w:val="21"/>
                      <w:lang w:val="en-US" w:eastAsia="zh-CN"/>
                    </w:rPr>
                    <w:t>四联双级达滤机进行</w:t>
                  </w:r>
                  <w:r>
                    <w:rPr>
                      <w:rFonts w:hint="eastAsia" w:ascii="Times New Roman" w:hAnsi="Times New Roman" w:cs="Times New Roman"/>
                      <w:b w:val="0"/>
                      <w:bCs w:val="0"/>
                      <w:color w:val="auto"/>
                      <w:sz w:val="21"/>
                      <w:szCs w:val="21"/>
                      <w:lang w:eastAsia="zh-CN"/>
                    </w:rPr>
                    <w:t>粗滤，</w:t>
                  </w:r>
                  <w:r>
                    <w:rPr>
                      <w:rFonts w:hint="eastAsia" w:ascii="Times New Roman" w:hAnsi="Times New Roman" w:cs="Times New Roman"/>
                      <w:b w:val="0"/>
                      <w:bCs w:val="0"/>
                      <w:color w:val="auto"/>
                      <w:sz w:val="21"/>
                      <w:szCs w:val="21"/>
                      <w:lang w:val="en-US" w:eastAsia="zh-CN"/>
                    </w:rPr>
                    <w:t>过滤酒液，确保杂质的清除</w:t>
                  </w:r>
                  <w:r>
                    <w:rPr>
                      <w:rFonts w:hint="eastAsia" w:ascii="Times New Roman" w:hAnsi="Times New Roman" w:cs="Times New Roman"/>
                      <w:b w:val="0"/>
                      <w:bCs w:val="0"/>
                      <w:color w:val="auto"/>
                      <w:sz w:val="21"/>
                      <w:szCs w:val="21"/>
                      <w:lang w:eastAsia="zh-CN"/>
                    </w:rPr>
                    <w:t>采用；采用</w:t>
                  </w:r>
                  <w:r>
                    <w:rPr>
                      <w:rFonts w:hint="eastAsia" w:ascii="Times New Roman" w:hAnsi="Times New Roman" w:cs="Times New Roman"/>
                      <w:b w:val="0"/>
                      <w:bCs w:val="0"/>
                      <w:color w:val="auto"/>
                      <w:sz w:val="21"/>
                      <w:szCs w:val="21"/>
                      <w:lang w:val="en-US" w:eastAsia="zh-CN"/>
                    </w:rPr>
                    <w:t>四联精密过滤机进行精滤，滤除酒中残余的大分子固体，保证酒品质。</w:t>
                  </w:r>
                </w:p>
                <w:p w14:paraId="4E228961">
                  <w:pPr>
                    <w:pStyle w:val="6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cs="Times New Roman"/>
                      <w:b/>
                      <w:bCs/>
                      <w:color w:val="auto"/>
                      <w:sz w:val="21"/>
                      <w:szCs w:val="21"/>
                      <w:lang w:val="en-US" w:eastAsia="zh-CN"/>
                    </w:rPr>
                  </w:pPr>
                  <w:r>
                    <w:rPr>
                      <w:rFonts w:hint="eastAsia" w:ascii="Times New Roman" w:hAnsi="Times New Roman" w:cs="Times New Roman"/>
                      <w:b w:val="0"/>
                      <w:bCs w:val="0"/>
                      <w:color w:val="auto"/>
                      <w:sz w:val="21"/>
                      <w:szCs w:val="21"/>
                      <w:lang w:val="en-US" w:eastAsia="zh-CN"/>
                    </w:rPr>
                    <w:t>本项目灭菌采用蒸汽灭菌，属于先进高效的消毒技术，有效降低综合能耗和水耗。</w:t>
                  </w:r>
                </w:p>
              </w:tc>
              <w:tc>
                <w:tcPr>
                  <w:tcW w:w="304" w:type="pct"/>
                  <w:tcBorders>
                    <w:tl2br w:val="nil"/>
                    <w:tr2bl w:val="nil"/>
                  </w:tcBorders>
                  <w:vAlign w:val="center"/>
                </w:tcPr>
                <w:p w14:paraId="1B432F5D">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lang w:eastAsia="zh-CN"/>
                    </w:rPr>
                  </w:pPr>
                  <w:r>
                    <w:rPr>
                      <w:rFonts w:hint="eastAsia" w:ascii="Times New Roman" w:hAnsi="Times New Roman" w:cs="Times New Roman"/>
                      <w:b w:val="0"/>
                      <w:bCs w:val="0"/>
                      <w:color w:val="auto"/>
                      <w:sz w:val="21"/>
                      <w:szCs w:val="21"/>
                      <w:lang w:eastAsia="zh-CN"/>
                    </w:rPr>
                    <w:t>符合</w:t>
                  </w:r>
                </w:p>
              </w:tc>
            </w:tr>
            <w:tr w14:paraId="3530D9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821" w:type="pct"/>
                  <w:vMerge w:val="continue"/>
                  <w:tcBorders>
                    <w:tl2br w:val="nil"/>
                    <w:tr2bl w:val="nil"/>
                  </w:tcBorders>
                  <w:vAlign w:val="center"/>
                </w:tcPr>
                <w:p w14:paraId="1CDAFEE1">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color w:val="auto"/>
                    </w:rPr>
                  </w:pPr>
                </w:p>
              </w:tc>
              <w:tc>
                <w:tcPr>
                  <w:tcW w:w="2175" w:type="pct"/>
                  <w:tcBorders>
                    <w:tl2br w:val="nil"/>
                    <w:tr2bl w:val="nil"/>
                  </w:tcBorders>
                  <w:vAlign w:val="center"/>
                </w:tcPr>
                <w:p w14:paraId="708E5A03">
                  <w:pPr>
                    <w:pStyle w:val="63"/>
                    <w:keepNext w:val="0"/>
                    <w:keepLines w:val="0"/>
                    <w:pageBreakBefore w:val="0"/>
                    <w:kinsoku/>
                    <w:wordWrap/>
                    <w:overflowPunct/>
                    <w:topLinePunct w:val="0"/>
                    <w:bidi w:val="0"/>
                    <w:adjustRightInd w:val="0"/>
                    <w:snapToGrid w:val="0"/>
                    <w:spacing w:line="240" w:lineRule="auto"/>
                    <w:ind w:firstLine="0" w:firstLineChars="0"/>
                    <w:jc w:val="left"/>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三、污染治理及综合利用</w:t>
                  </w:r>
                </w:p>
                <w:p w14:paraId="6B454342">
                  <w:pPr>
                    <w:pStyle w:val="63"/>
                    <w:keepNext w:val="0"/>
                    <w:keepLines w:val="0"/>
                    <w:pageBreakBefore w:val="0"/>
                    <w:kinsoku/>
                    <w:wordWrap/>
                    <w:overflowPunct/>
                    <w:topLinePunct w:val="0"/>
                    <w:bidi w:val="0"/>
                    <w:adjustRightInd w:val="0"/>
                    <w:snapToGrid w:val="0"/>
                    <w:spacing w:line="240" w:lineRule="auto"/>
                    <w:ind w:firstLine="0" w:firstLineChars="0"/>
                    <w:jc w:val="left"/>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（一）大气污染治理</w:t>
                  </w:r>
                </w:p>
                <w:p w14:paraId="2A1063A3">
                  <w:pPr>
                    <w:pStyle w:val="63"/>
                    <w:keepNext w:val="0"/>
                    <w:keepLines w:val="0"/>
                    <w:pageBreakBefore w:val="0"/>
                    <w:kinsoku/>
                    <w:wordWrap/>
                    <w:overflowPunct/>
                    <w:topLinePunct w:val="0"/>
                    <w:bidi w:val="0"/>
                    <w:adjustRightInd w:val="0"/>
                    <w:snapToGrid w:val="0"/>
                    <w:spacing w:line="240" w:lineRule="auto"/>
                    <w:ind w:firstLine="0" w:firstLineChars="0"/>
                    <w:jc w:val="left"/>
                    <w:textAlignment w:val="auto"/>
                    <w:rPr>
                      <w:rFonts w:hint="eastAsia" w:ascii="Times New Roman" w:hAnsi="Times New Roman"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2.酒糟、滤渣堆场应采取封闭措施对产生废气进行收集，采用化学吸附法或活性炭吸附法等技术对收集废气进行处理。</w:t>
                  </w:r>
                </w:p>
              </w:tc>
              <w:tc>
                <w:tcPr>
                  <w:tcW w:w="1698" w:type="pct"/>
                  <w:tcBorders>
                    <w:tl2br w:val="nil"/>
                    <w:tr2bl w:val="nil"/>
                  </w:tcBorders>
                  <w:vAlign w:val="center"/>
                </w:tcPr>
                <w:p w14:paraId="1F44E3F0">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b w:val="0"/>
                      <w:bCs w:val="0"/>
                      <w:color w:val="auto"/>
                      <w:sz w:val="21"/>
                      <w:szCs w:val="21"/>
                      <w:lang w:val="en-US" w:eastAsia="zh-CN"/>
                    </w:rPr>
                    <w:t>本项目</w:t>
                  </w:r>
                  <w:r>
                    <w:rPr>
                      <w:rFonts w:hint="eastAsia" w:ascii="Times New Roman" w:hAnsi="Times New Roman" w:cs="Times New Roman"/>
                      <w:color w:val="auto"/>
                      <w:kern w:val="2"/>
                      <w:sz w:val="21"/>
                      <w:szCs w:val="21"/>
                      <w:highlight w:val="none"/>
                      <w:lang w:val="en-US" w:eastAsia="zh-CN"/>
                    </w:rPr>
                    <w:t>过滤残渣</w:t>
                  </w:r>
                  <w:r>
                    <w:rPr>
                      <w:rFonts w:hint="eastAsia" w:ascii="Times New Roman" w:hAnsi="Times New Roman" w:eastAsia="宋体" w:cs="Times New Roman"/>
                      <w:color w:val="auto"/>
                      <w:sz w:val="21"/>
                      <w:szCs w:val="21"/>
                      <w:lang w:val="en-US" w:eastAsia="zh-CN"/>
                    </w:rPr>
                    <w:t>暂存在带盖塑料桶内，及时</w:t>
                  </w:r>
                  <w:r>
                    <w:rPr>
                      <w:rFonts w:hint="eastAsia" w:eastAsia="宋体" w:cs="Times New Roman"/>
                      <w:color w:val="auto"/>
                      <w:sz w:val="21"/>
                      <w:szCs w:val="21"/>
                      <w:lang w:val="en-US" w:eastAsia="zh-CN"/>
                    </w:rPr>
                    <w:t>封盖并做到</w:t>
                  </w:r>
                  <w:r>
                    <w:rPr>
                      <w:rFonts w:hint="eastAsia" w:ascii="Times New Roman" w:hAnsi="Times New Roman" w:eastAsia="宋体" w:cs="Times New Roman"/>
                      <w:color w:val="auto"/>
                      <w:sz w:val="21"/>
                      <w:szCs w:val="21"/>
                      <w:lang w:val="en-US" w:eastAsia="zh-CN"/>
                    </w:rPr>
                    <w:t>日产日清；</w:t>
                  </w:r>
                  <w:r>
                    <w:rPr>
                      <w:rFonts w:hint="eastAsia" w:ascii="Times New Roman" w:hAnsi="Times New Roman" w:cs="Times New Roman"/>
                      <w:color w:val="auto"/>
                      <w:sz w:val="21"/>
                      <w:szCs w:val="21"/>
                      <w:highlight w:val="none"/>
                      <w:lang w:eastAsia="zh-CN"/>
                    </w:rPr>
                    <w:t>项目车间整体密闭，车间内设置机械排风设施，脱醇废气经设备自带的冷凝回收装置处理后无组织排放，生产过程中发酵环节产生的少量废气和残渣堆存废气由车间通风换气后无组织排放。</w:t>
                  </w:r>
                </w:p>
              </w:tc>
              <w:tc>
                <w:tcPr>
                  <w:tcW w:w="304" w:type="pct"/>
                  <w:tcBorders>
                    <w:tl2br w:val="nil"/>
                    <w:tr2bl w:val="nil"/>
                  </w:tcBorders>
                  <w:vAlign w:val="center"/>
                </w:tcPr>
                <w:p w14:paraId="18832AD6">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符合</w:t>
                  </w:r>
                </w:p>
              </w:tc>
            </w:tr>
            <w:tr w14:paraId="6A567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821" w:type="pct"/>
                  <w:vMerge w:val="continue"/>
                  <w:tcBorders>
                    <w:tl2br w:val="nil"/>
                    <w:tr2bl w:val="nil"/>
                  </w:tcBorders>
                  <w:vAlign w:val="center"/>
                </w:tcPr>
                <w:p w14:paraId="30E15175">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color w:val="auto"/>
                      <w:kern w:val="2"/>
                      <w:sz w:val="21"/>
                      <w:szCs w:val="21"/>
                      <w:lang w:val="en-US" w:eastAsia="zh-CN" w:bidi="ar-SA"/>
                    </w:rPr>
                  </w:pPr>
                </w:p>
              </w:tc>
              <w:tc>
                <w:tcPr>
                  <w:tcW w:w="2175" w:type="pct"/>
                  <w:tcBorders>
                    <w:tl2br w:val="nil"/>
                    <w:tr2bl w:val="nil"/>
                  </w:tcBorders>
                  <w:vAlign w:val="center"/>
                </w:tcPr>
                <w:p w14:paraId="4E88B098">
                  <w:pPr>
                    <w:pStyle w:val="63"/>
                    <w:keepNext w:val="0"/>
                    <w:keepLines w:val="0"/>
                    <w:pageBreakBefore w:val="0"/>
                    <w:kinsoku/>
                    <w:wordWrap/>
                    <w:overflowPunct/>
                    <w:topLinePunct w:val="0"/>
                    <w:bidi w:val="0"/>
                    <w:adjustRightInd w:val="0"/>
                    <w:snapToGrid w:val="0"/>
                    <w:spacing w:line="240" w:lineRule="auto"/>
                    <w:ind w:firstLine="0" w:firstLineChars="0"/>
                    <w:jc w:val="left"/>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（三）</w:t>
                  </w:r>
                  <w:r>
                    <w:rPr>
                      <w:rFonts w:hint="eastAsia" w:ascii="Times New Roman" w:hAnsi="Times New Roman" w:eastAsia="宋体" w:cs="Times New Roman"/>
                      <w:color w:val="auto"/>
                      <w:kern w:val="2"/>
                      <w:sz w:val="21"/>
                      <w:szCs w:val="21"/>
                      <w:lang w:val="en-US" w:eastAsia="zh-CN" w:bidi="ar-SA"/>
                    </w:rPr>
                    <w:t>固体废物处理处置及综合利用</w:t>
                  </w:r>
                </w:p>
                <w:p w14:paraId="67CAF59B">
                  <w:pPr>
                    <w:pStyle w:val="63"/>
                    <w:keepNext w:val="0"/>
                    <w:keepLines w:val="0"/>
                    <w:pageBreakBefore w:val="0"/>
                    <w:kinsoku/>
                    <w:wordWrap/>
                    <w:overflowPunct/>
                    <w:topLinePunct w:val="0"/>
                    <w:bidi w:val="0"/>
                    <w:adjustRightInd w:val="0"/>
                    <w:snapToGrid w:val="0"/>
                    <w:spacing w:line="240" w:lineRule="auto"/>
                    <w:ind w:firstLine="0" w:firstLineChars="0"/>
                    <w:jc w:val="left"/>
                    <w:textAlignment w:val="auto"/>
                    <w:rPr>
                      <w:rFonts w:hint="eastAsia" w:ascii="Times New Roman" w:hAnsi="Times New Roman"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r>
                    <w:rPr>
                      <w:rFonts w:hint="eastAsia" w:ascii="Times New Roman" w:hAnsi="Times New Roman" w:cs="Times New Roman"/>
                      <w:color w:val="auto"/>
                      <w:kern w:val="2"/>
                      <w:sz w:val="21"/>
                      <w:szCs w:val="21"/>
                      <w:lang w:val="en-US" w:eastAsia="zh-CN" w:bidi="ar-SA"/>
                    </w:rPr>
                    <w:t>酒糟、麦糟宜作为优质饲料或锅炉燃料。葡萄酒与果酒皮渣应100%收集，并进行综合利用或无害化处理。</w:t>
                  </w:r>
                </w:p>
                <w:p w14:paraId="201BEF4E">
                  <w:pPr>
                    <w:pStyle w:val="63"/>
                    <w:keepNext w:val="0"/>
                    <w:keepLines w:val="0"/>
                    <w:pageBreakBefore w:val="0"/>
                    <w:kinsoku/>
                    <w:wordWrap/>
                    <w:overflowPunct/>
                    <w:topLinePunct w:val="0"/>
                    <w:bidi w:val="0"/>
                    <w:adjustRightInd w:val="0"/>
                    <w:snapToGrid w:val="0"/>
                    <w:spacing w:line="240" w:lineRule="auto"/>
                    <w:ind w:firstLine="0" w:firstLineChars="0"/>
                    <w:jc w:val="left"/>
                    <w:textAlignment w:val="auto"/>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2.鼓励对废旧瓶、废包装材料等进行收集、利用。</w:t>
                  </w:r>
                </w:p>
              </w:tc>
              <w:tc>
                <w:tcPr>
                  <w:tcW w:w="1698" w:type="pct"/>
                  <w:tcBorders>
                    <w:tl2br w:val="nil"/>
                    <w:tr2bl w:val="nil"/>
                  </w:tcBorders>
                  <w:vAlign w:val="center"/>
                </w:tcPr>
                <w:p w14:paraId="4E9AB2AB">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highlight w:val="none"/>
                      <w:lang w:val="en-US" w:eastAsia="zh-CN" w:bidi="ar-SA"/>
                    </w:rPr>
                    <w:t>本项目产生的废包装材料统一收集后及时外售给废品收购站；过滤残渣</w:t>
                  </w:r>
                  <w:r>
                    <w:rPr>
                      <w:rFonts w:hint="eastAsia" w:ascii="Times New Roman" w:hAnsi="Times New Roman" w:cs="Times New Roman"/>
                      <w:color w:val="auto"/>
                      <w:kern w:val="2"/>
                      <w:sz w:val="21"/>
                      <w:szCs w:val="21"/>
                      <w:highlight w:val="none"/>
                      <w:lang w:val="en-US" w:eastAsia="zh-CN"/>
                    </w:rPr>
                    <w:t>、废烂果品</w:t>
                  </w:r>
                  <w:r>
                    <w:rPr>
                      <w:rFonts w:hint="eastAsia" w:ascii="Times New Roman" w:hAnsi="Times New Roman" w:cs="Times New Roman"/>
                      <w:color w:val="auto"/>
                      <w:kern w:val="2"/>
                      <w:sz w:val="21"/>
                      <w:szCs w:val="21"/>
                      <w:highlight w:val="none"/>
                      <w:lang w:val="en-US" w:eastAsia="zh-CN" w:bidi="ar-SA"/>
                    </w:rPr>
                    <w:t>暂存在带盖塑料桶内，及时外售给养殖场作为饲料，日产日清。</w:t>
                  </w:r>
                </w:p>
              </w:tc>
              <w:tc>
                <w:tcPr>
                  <w:tcW w:w="304" w:type="pct"/>
                  <w:tcBorders>
                    <w:tl2br w:val="nil"/>
                    <w:tr2bl w:val="nil"/>
                  </w:tcBorders>
                  <w:vAlign w:val="center"/>
                </w:tcPr>
                <w:p w14:paraId="5FC3C897">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符合</w:t>
                  </w:r>
                </w:p>
              </w:tc>
            </w:tr>
            <w:tr w14:paraId="0D9137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21" w:type="pct"/>
                  <w:tcBorders>
                    <w:tl2br w:val="nil"/>
                    <w:tr2bl w:val="nil"/>
                  </w:tcBorders>
                  <w:vAlign w:val="center"/>
                </w:tcPr>
                <w:p w14:paraId="51F975A6">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zh-CN" w:eastAsia="zh-CN" w:bidi="ar-SA"/>
                    </w:rPr>
                    <w:t>《挥发性有机物无组织排放控制标准》（GB 37822-2019）</w:t>
                  </w:r>
                </w:p>
              </w:tc>
              <w:tc>
                <w:tcPr>
                  <w:tcW w:w="2175" w:type="pct"/>
                  <w:tcBorders>
                    <w:tl2br w:val="nil"/>
                    <w:tr2bl w:val="nil"/>
                  </w:tcBorders>
                  <w:vAlign w:val="center"/>
                </w:tcPr>
                <w:p w14:paraId="13C13FA3">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zh-CN" w:eastAsia="zh-CN" w:bidi="ar-SA"/>
                    </w:rPr>
                  </w:pPr>
                  <w:r>
                    <w:rPr>
                      <w:rFonts w:hint="default" w:ascii="Times New Roman" w:hAnsi="Times New Roman" w:eastAsia="宋体" w:cs="Times New Roman"/>
                      <w:color w:val="auto"/>
                      <w:kern w:val="2"/>
                      <w:sz w:val="21"/>
                      <w:szCs w:val="21"/>
                      <w:highlight w:val="none"/>
                      <w:lang w:val="zh-CN" w:eastAsia="zh-CN" w:bidi="ar-SA"/>
                    </w:rPr>
                    <w:t>收</w:t>
                  </w:r>
                  <w:r>
                    <w:rPr>
                      <w:rFonts w:hint="default" w:ascii="Times New Roman" w:hAnsi="Times New Roman" w:eastAsia="宋体" w:cs="Times New Roman"/>
                      <w:color w:val="auto"/>
                      <w:kern w:val="2"/>
                      <w:sz w:val="21"/>
                      <w:szCs w:val="21"/>
                      <w:highlight w:val="none"/>
                      <w:lang w:val="en-US" w:eastAsia="zh-CN" w:bidi="ar-SA"/>
                    </w:rPr>
                    <w:t>集的废气中NMHC初始排放速率≥3kg/h时，应配置VOCs处理设施，处理效率不应低于80%；对于重点地区，收集的废气中NMHC初始排放速率≥2kg/h时，应配置VOCs处理设施，处理效率不应低于80%</w:t>
                  </w:r>
                  <w:r>
                    <w:rPr>
                      <w:rFonts w:hint="eastAsia" w:ascii="Times New Roman" w:hAnsi="Times New Roman" w:eastAsia="宋体" w:cs="Times New Roman"/>
                      <w:color w:val="auto"/>
                      <w:kern w:val="2"/>
                      <w:sz w:val="21"/>
                      <w:szCs w:val="21"/>
                      <w:highlight w:val="none"/>
                      <w:lang w:val="en-US" w:eastAsia="zh-CN" w:bidi="ar-SA"/>
                    </w:rPr>
                    <w:t>。</w:t>
                  </w:r>
                </w:p>
              </w:tc>
              <w:tc>
                <w:tcPr>
                  <w:tcW w:w="1698" w:type="pct"/>
                  <w:tcBorders>
                    <w:tl2br w:val="nil"/>
                    <w:tr2bl w:val="nil"/>
                  </w:tcBorders>
                  <w:vAlign w:val="center"/>
                </w:tcPr>
                <w:p w14:paraId="22F8541D">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本项目</w:t>
                  </w:r>
                  <w:r>
                    <w:rPr>
                      <w:rFonts w:hint="eastAsia" w:ascii="Times New Roman" w:hAnsi="Times New Roman" w:cs="Times New Roman"/>
                      <w:b w:val="0"/>
                      <w:bCs w:val="0"/>
                      <w:color w:val="auto"/>
                      <w:sz w:val="21"/>
                      <w:szCs w:val="21"/>
                      <w:highlight w:val="none"/>
                      <w:lang w:eastAsia="zh-CN"/>
                    </w:rPr>
                    <w:t>建设地点不属于</w:t>
                  </w:r>
                  <w:r>
                    <w:rPr>
                      <w:rFonts w:hint="default" w:ascii="Times New Roman" w:hAnsi="Times New Roman" w:eastAsia="宋体" w:cs="Times New Roman"/>
                      <w:b w:val="0"/>
                      <w:bCs w:val="0"/>
                      <w:color w:val="auto"/>
                      <w:sz w:val="21"/>
                      <w:szCs w:val="21"/>
                      <w:highlight w:val="none"/>
                    </w:rPr>
                    <w:t>重点区域，</w:t>
                  </w:r>
                  <w:r>
                    <w:rPr>
                      <w:rFonts w:hint="eastAsia" w:ascii="Times New Roman" w:hAnsi="Times New Roman" w:cs="Times New Roman"/>
                      <w:b w:val="0"/>
                      <w:bCs w:val="0"/>
                      <w:color w:val="auto"/>
                      <w:sz w:val="21"/>
                      <w:szCs w:val="21"/>
                      <w:highlight w:val="none"/>
                      <w:lang w:eastAsia="zh-CN"/>
                    </w:rPr>
                    <w:t>脱醇时</w:t>
                  </w:r>
                  <w:r>
                    <w:rPr>
                      <w:rFonts w:hint="default" w:ascii="Times New Roman" w:hAnsi="Times New Roman" w:eastAsia="宋体" w:cs="Times New Roman"/>
                      <w:b w:val="0"/>
                      <w:bCs w:val="0"/>
                      <w:color w:val="auto"/>
                      <w:sz w:val="21"/>
                      <w:szCs w:val="21"/>
                      <w:highlight w:val="none"/>
                    </w:rPr>
                    <w:t>挥发的乙醇</w:t>
                  </w:r>
                  <w:r>
                    <w:rPr>
                      <w:rFonts w:hint="default" w:ascii="Times New Roman" w:hAnsi="Times New Roman" w:eastAsia="宋体" w:cs="Times New Roman"/>
                      <w:b w:val="0"/>
                      <w:bCs w:val="0"/>
                      <w:color w:val="auto"/>
                      <w:sz w:val="21"/>
                      <w:szCs w:val="21"/>
                      <w:highlight w:val="none"/>
                      <w:lang w:eastAsia="zh-CN"/>
                    </w:rPr>
                    <w:t>（以非甲烷总烃计）</w:t>
                  </w:r>
                  <w:r>
                    <w:rPr>
                      <w:rFonts w:hint="default" w:ascii="Times New Roman" w:hAnsi="Times New Roman" w:eastAsia="宋体" w:cs="Times New Roman"/>
                      <w:b w:val="0"/>
                      <w:bCs w:val="0"/>
                      <w:color w:val="auto"/>
                      <w:sz w:val="21"/>
                      <w:szCs w:val="21"/>
                      <w:highlight w:val="none"/>
                    </w:rPr>
                    <w:t>产生量</w:t>
                  </w:r>
                  <w:r>
                    <w:rPr>
                      <w:rFonts w:hint="eastAsia" w:ascii="Times New Roman" w:hAnsi="Times New Roman" w:cs="Times New Roman"/>
                      <w:b w:val="0"/>
                      <w:bCs w:val="0"/>
                      <w:color w:val="auto"/>
                      <w:sz w:val="21"/>
                      <w:szCs w:val="21"/>
                      <w:highlight w:val="none"/>
                      <w:lang w:eastAsia="zh-CN"/>
                    </w:rPr>
                    <w:t>为</w:t>
                  </w:r>
                  <w:r>
                    <w:rPr>
                      <w:rFonts w:hint="default" w:ascii="Times New Roman" w:hAnsi="Times New Roman" w:eastAsia="宋体" w:cs="Times New Roman"/>
                      <w:b w:val="0"/>
                      <w:bCs w:val="0"/>
                      <w:color w:val="auto"/>
                      <w:sz w:val="21"/>
                      <w:szCs w:val="21"/>
                      <w:highlight w:val="none"/>
                      <w:lang w:val="en-US" w:eastAsia="zh-CN"/>
                    </w:rPr>
                    <w:t>0.0</w:t>
                  </w:r>
                  <w:r>
                    <w:rPr>
                      <w:rFonts w:hint="eastAsia" w:ascii="Times New Roman" w:hAnsi="Times New Roman" w:cs="Times New Roman"/>
                      <w:b w:val="0"/>
                      <w:bCs w:val="0"/>
                      <w:color w:val="auto"/>
                      <w:sz w:val="21"/>
                      <w:szCs w:val="21"/>
                      <w:highlight w:val="none"/>
                      <w:lang w:val="en-US" w:eastAsia="zh-CN"/>
                    </w:rPr>
                    <w:t>99</w:t>
                  </w:r>
                  <w:r>
                    <w:rPr>
                      <w:rFonts w:hint="default" w:ascii="Times New Roman" w:hAnsi="Times New Roman" w:eastAsia="宋体" w:cs="Times New Roman"/>
                      <w:b w:val="0"/>
                      <w:bCs w:val="0"/>
                      <w:color w:val="auto"/>
                      <w:sz w:val="21"/>
                      <w:szCs w:val="21"/>
                      <w:highlight w:val="none"/>
                      <w:lang w:val="en-US" w:eastAsia="zh-CN"/>
                    </w:rPr>
                    <w:t>t/a</w:t>
                  </w:r>
                  <w:r>
                    <w:rPr>
                      <w:rFonts w:hint="default" w:ascii="Times New Roman" w:hAnsi="Times New Roman" w:eastAsia="宋体" w:cs="Times New Roman"/>
                      <w:b w:val="0"/>
                      <w:bCs w:val="0"/>
                      <w:color w:val="auto"/>
                      <w:sz w:val="21"/>
                      <w:szCs w:val="21"/>
                      <w:highlight w:val="none"/>
                    </w:rPr>
                    <w:t>，</w:t>
                  </w:r>
                  <w:r>
                    <w:rPr>
                      <w:rFonts w:hint="default" w:ascii="Times New Roman" w:hAnsi="Times New Roman" w:eastAsia="宋体" w:cs="Times New Roman"/>
                      <w:b w:val="0"/>
                      <w:bCs w:val="0"/>
                      <w:color w:val="auto"/>
                      <w:sz w:val="21"/>
                      <w:szCs w:val="21"/>
                      <w:highlight w:val="none"/>
                      <w:lang w:val="zh-CN" w:eastAsia="zh-CN"/>
                    </w:rPr>
                    <w:t>产生速率为0.</w:t>
                  </w:r>
                  <w:r>
                    <w:rPr>
                      <w:rFonts w:hint="eastAsia" w:ascii="Times New Roman" w:hAnsi="Times New Roman" w:cs="Times New Roman"/>
                      <w:b w:val="0"/>
                      <w:bCs w:val="0"/>
                      <w:color w:val="auto"/>
                      <w:sz w:val="21"/>
                      <w:szCs w:val="21"/>
                      <w:highlight w:val="none"/>
                      <w:lang w:val="en-US" w:eastAsia="zh-CN"/>
                    </w:rPr>
                    <w:t>113</w:t>
                  </w:r>
                  <w:r>
                    <w:rPr>
                      <w:rFonts w:hint="default" w:ascii="Times New Roman" w:hAnsi="Times New Roman" w:eastAsia="宋体" w:cs="Times New Roman"/>
                      <w:b w:val="0"/>
                      <w:bCs w:val="0"/>
                      <w:color w:val="auto"/>
                      <w:sz w:val="21"/>
                      <w:szCs w:val="21"/>
                      <w:highlight w:val="none"/>
                      <w:lang w:val="zh-CN" w:eastAsia="zh-CN"/>
                    </w:rPr>
                    <w:t>kg/h，</w:t>
                  </w:r>
                  <w:r>
                    <w:rPr>
                      <w:rFonts w:hint="default" w:ascii="Times New Roman" w:hAnsi="Times New Roman" w:eastAsia="宋体" w:cs="Times New Roman"/>
                      <w:b w:val="0"/>
                      <w:bCs w:val="0"/>
                      <w:color w:val="auto"/>
                      <w:sz w:val="21"/>
                      <w:szCs w:val="21"/>
                      <w:highlight w:val="none"/>
                      <w:lang w:val="en-US" w:eastAsia="zh-CN"/>
                    </w:rPr>
                    <w:t>脱醇废气经设备自带内置冷凝回收装置处理后，排放量为0.0</w:t>
                  </w:r>
                  <w:r>
                    <w:rPr>
                      <w:rFonts w:hint="eastAsia" w:ascii="Times New Roman" w:hAnsi="Times New Roman" w:cs="Times New Roman"/>
                      <w:b w:val="0"/>
                      <w:bCs w:val="0"/>
                      <w:color w:val="auto"/>
                      <w:sz w:val="21"/>
                      <w:szCs w:val="21"/>
                      <w:highlight w:val="none"/>
                      <w:lang w:val="en-US" w:eastAsia="zh-CN"/>
                    </w:rPr>
                    <w:t>10</w:t>
                  </w:r>
                  <w:r>
                    <w:rPr>
                      <w:rFonts w:hint="default" w:ascii="Times New Roman" w:hAnsi="Times New Roman" w:eastAsia="宋体" w:cs="Times New Roman"/>
                      <w:b w:val="0"/>
                      <w:bCs w:val="0"/>
                      <w:color w:val="auto"/>
                      <w:sz w:val="21"/>
                      <w:szCs w:val="21"/>
                      <w:highlight w:val="none"/>
                      <w:lang w:val="en-US" w:eastAsia="zh-CN"/>
                    </w:rPr>
                    <w:t>t/a，排放速率为0.</w:t>
                  </w:r>
                  <w:r>
                    <w:rPr>
                      <w:rFonts w:hint="eastAsia" w:ascii="Times New Roman" w:hAnsi="Times New Roman" w:cs="Times New Roman"/>
                      <w:b w:val="0"/>
                      <w:bCs w:val="0"/>
                      <w:color w:val="auto"/>
                      <w:sz w:val="21"/>
                      <w:szCs w:val="21"/>
                      <w:highlight w:val="none"/>
                      <w:lang w:val="en-US" w:eastAsia="zh-CN"/>
                    </w:rPr>
                    <w:t>011</w:t>
                  </w:r>
                  <w:r>
                    <w:rPr>
                      <w:rFonts w:hint="default" w:ascii="Times New Roman" w:hAnsi="Times New Roman" w:eastAsia="宋体" w:cs="Times New Roman"/>
                      <w:b w:val="0"/>
                      <w:bCs w:val="0"/>
                      <w:color w:val="auto"/>
                      <w:sz w:val="21"/>
                      <w:szCs w:val="21"/>
                      <w:highlight w:val="none"/>
                      <w:lang w:val="en-US" w:eastAsia="zh-CN"/>
                    </w:rPr>
                    <w:t>kg/h，可通过车间通风换气无组织排放</w:t>
                  </w:r>
                  <w:r>
                    <w:rPr>
                      <w:rFonts w:hint="default" w:ascii="Times New Roman" w:hAnsi="Times New Roman" w:eastAsia="宋体" w:cs="Times New Roman"/>
                      <w:b w:val="0"/>
                      <w:bCs w:val="0"/>
                      <w:color w:val="auto"/>
                      <w:sz w:val="21"/>
                      <w:szCs w:val="21"/>
                      <w:highlight w:val="none"/>
                    </w:rPr>
                    <w:t>。</w:t>
                  </w:r>
                </w:p>
              </w:tc>
              <w:tc>
                <w:tcPr>
                  <w:tcW w:w="304" w:type="pct"/>
                  <w:tcBorders>
                    <w:tl2br w:val="nil"/>
                    <w:tr2bl w:val="nil"/>
                  </w:tcBorders>
                  <w:vAlign w:val="center"/>
                </w:tcPr>
                <w:p w14:paraId="0D493073">
                  <w:pPr>
                    <w:pStyle w:val="63"/>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lang w:eastAsia="zh-CN"/>
                    </w:rPr>
                  </w:pPr>
                  <w:r>
                    <w:rPr>
                      <w:rFonts w:hint="eastAsia" w:ascii="Times New Roman" w:hAnsi="Times New Roman" w:cs="Times New Roman"/>
                      <w:b w:val="0"/>
                      <w:bCs w:val="0"/>
                      <w:color w:val="auto"/>
                      <w:sz w:val="21"/>
                      <w:szCs w:val="21"/>
                      <w:lang w:eastAsia="zh-CN"/>
                    </w:rPr>
                    <w:t>符合</w:t>
                  </w:r>
                </w:p>
              </w:tc>
            </w:tr>
            <w:tr w14:paraId="592C9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1" w:type="pct"/>
                  <w:tcBorders>
                    <w:tl2br w:val="nil"/>
                    <w:tr2bl w:val="nil"/>
                  </w:tcBorders>
                  <w:vAlign w:val="center"/>
                </w:tcPr>
                <w:p w14:paraId="127BE5AF">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r>
                    <w:rPr>
                      <w:rFonts w:hint="eastAsia" w:cs="Times New Roman"/>
                      <w:color w:val="auto"/>
                      <w:sz w:val="21"/>
                      <w:szCs w:val="21"/>
                      <w:lang w:eastAsia="zh-CN"/>
                    </w:rPr>
                    <w:t>汉中市大气污染防治条例</w:t>
                  </w:r>
                  <w:r>
                    <w:rPr>
                      <w:rFonts w:hint="default" w:ascii="Times New Roman" w:hAnsi="Times New Roman" w:eastAsia="宋体" w:cs="Times New Roman"/>
                      <w:color w:val="auto"/>
                      <w:sz w:val="21"/>
                      <w:szCs w:val="21"/>
                    </w:rPr>
                    <w:t>》</w:t>
                  </w:r>
                  <w:r>
                    <w:rPr>
                      <w:rFonts w:hint="eastAsia" w:cs="Times New Roman"/>
                      <w:color w:val="auto"/>
                      <w:sz w:val="21"/>
                      <w:szCs w:val="21"/>
                      <w:lang w:eastAsia="zh-CN"/>
                    </w:rPr>
                    <w:t>（</w:t>
                  </w:r>
                  <w:r>
                    <w:rPr>
                      <w:rFonts w:hint="eastAsia" w:cs="Times New Roman"/>
                      <w:color w:val="auto"/>
                      <w:sz w:val="21"/>
                      <w:szCs w:val="21"/>
                      <w:lang w:val="en-US" w:eastAsia="zh-CN"/>
                    </w:rPr>
                    <w:t>2025年3月6日）</w:t>
                  </w:r>
                </w:p>
              </w:tc>
              <w:tc>
                <w:tcPr>
                  <w:tcW w:w="2175" w:type="pct"/>
                  <w:tcBorders>
                    <w:tl2br w:val="nil"/>
                    <w:tr2bl w:val="nil"/>
                  </w:tcBorders>
                  <w:vAlign w:val="center"/>
                </w:tcPr>
                <w:p w14:paraId="7E35AF0C">
                  <w:pPr>
                    <w:keepNext w:val="0"/>
                    <w:keepLines w:val="0"/>
                    <w:pageBreakBefore w:val="0"/>
                    <w:kinsoku/>
                    <w:wordWrap/>
                    <w:overflowPunct/>
                    <w:topLinePunct w:val="0"/>
                    <w:autoSpaceDE w:val="0"/>
                    <w:bidi w:val="0"/>
                    <w:adjustRightInd w:val="0"/>
                    <w:snapToGrid w:val="0"/>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企业事业单位和其他生产经营者应当履行防治大气污染的法定义务，采取有效措施，防止、减少大气污染，对所造成的损害依法承担责任。</w:t>
                  </w:r>
                </w:p>
              </w:tc>
              <w:tc>
                <w:tcPr>
                  <w:tcW w:w="1698" w:type="pct"/>
                  <w:tcBorders>
                    <w:tl2br w:val="nil"/>
                    <w:tr2bl w:val="nil"/>
                  </w:tcBorders>
                  <w:vAlign w:val="center"/>
                </w:tcPr>
                <w:p w14:paraId="6C2ACC98">
                  <w:pPr>
                    <w:pStyle w:val="63"/>
                    <w:keepNext w:val="0"/>
                    <w:keepLines w:val="0"/>
                    <w:pageBreakBefore w:val="0"/>
                    <w:kinsoku/>
                    <w:wordWrap/>
                    <w:overflowPunct/>
                    <w:topLinePunct w:val="0"/>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1"/>
                      <w:highlight w:val="none"/>
                      <w:lang w:val="en-US" w:eastAsia="zh-CN"/>
                    </w:rPr>
                  </w:pPr>
                  <w:r>
                    <w:rPr>
                      <w:rFonts w:hint="eastAsia" w:ascii="Times New Roman" w:hAnsi="Times New Roman" w:cs="Times New Roman"/>
                      <w:color w:val="auto"/>
                      <w:sz w:val="21"/>
                      <w:szCs w:val="21"/>
                      <w:highlight w:val="none"/>
                      <w:lang w:eastAsia="zh-CN"/>
                    </w:rPr>
                    <w:t>本项目属于</w:t>
                  </w:r>
                  <w:r>
                    <w:rPr>
                      <w:rFonts w:hint="eastAsia" w:ascii="Times New Roman" w:hAnsi="Times New Roman" w:cs="Times New Roman"/>
                      <w:color w:val="auto"/>
                      <w:sz w:val="21"/>
                      <w:szCs w:val="21"/>
                      <w:highlight w:val="none"/>
                      <w:lang w:val="en-US" w:eastAsia="zh-CN"/>
                    </w:rPr>
                    <w:t>C1519其他酒制造</w:t>
                  </w:r>
                  <w:r>
                    <w:rPr>
                      <w:rFonts w:hint="default" w:ascii="Times New Roman" w:hAnsi="Times New Roman" w:eastAsia="宋体" w:cs="Times New Roman"/>
                      <w:color w:val="auto"/>
                      <w:kern w:val="2"/>
                      <w:sz w:val="21"/>
                      <w:szCs w:val="21"/>
                      <w:highlight w:val="none"/>
                    </w:rPr>
                    <w:t>，</w:t>
                  </w:r>
                  <w:r>
                    <w:rPr>
                      <w:rFonts w:hint="eastAsia" w:ascii="Times New Roman" w:hAnsi="Times New Roman" w:cs="Times New Roman"/>
                      <w:color w:val="auto"/>
                      <w:kern w:val="2"/>
                      <w:sz w:val="21"/>
                      <w:szCs w:val="21"/>
                      <w:highlight w:val="none"/>
                      <w:lang w:eastAsia="zh-CN"/>
                    </w:rPr>
                    <w:t>属于</w:t>
                  </w:r>
                  <w:r>
                    <w:rPr>
                      <w:rFonts w:hint="eastAsia" w:ascii="Times New Roman" w:hAnsi="Times New Roman" w:cs="Times New Roman"/>
                      <w:color w:val="FF0000"/>
                      <w:kern w:val="2"/>
                      <w:sz w:val="21"/>
                      <w:szCs w:val="21"/>
                      <w:highlight w:val="none"/>
                      <w:lang w:eastAsia="zh-CN"/>
                    </w:rPr>
                    <w:t>新建</w:t>
                  </w:r>
                  <w:r>
                    <w:rPr>
                      <w:rFonts w:hint="eastAsia" w:ascii="Times New Roman" w:hAnsi="Times New Roman" w:cs="Times New Roman"/>
                      <w:color w:val="auto"/>
                      <w:kern w:val="2"/>
                      <w:sz w:val="21"/>
                      <w:szCs w:val="21"/>
                      <w:highlight w:val="none"/>
                      <w:lang w:eastAsia="zh-CN"/>
                    </w:rPr>
                    <w:t>项目，生产中产生的废气主要包括发酵废气、脱醇废气和</w:t>
                  </w:r>
                  <w:r>
                    <w:rPr>
                      <w:rFonts w:hint="eastAsia" w:ascii="Times New Roman" w:hAnsi="Times New Roman" w:cs="Times New Roman"/>
                      <w:color w:val="auto"/>
                      <w:kern w:val="2"/>
                      <w:sz w:val="21"/>
                      <w:szCs w:val="21"/>
                      <w:highlight w:val="none"/>
                      <w:lang w:val="en-US" w:eastAsia="zh-CN"/>
                    </w:rPr>
                    <w:t>过滤残渣堆存废气</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lang w:val="en-US" w:eastAsia="zh-CN"/>
                    </w:rPr>
                    <w:t>过滤残渣</w:t>
                  </w:r>
                  <w:r>
                    <w:rPr>
                      <w:rFonts w:hint="eastAsia" w:ascii="Times New Roman" w:hAnsi="Times New Roman" w:eastAsia="宋体" w:cs="Times New Roman"/>
                      <w:color w:val="auto"/>
                      <w:sz w:val="21"/>
                      <w:szCs w:val="21"/>
                      <w:lang w:val="en-US" w:eastAsia="zh-CN"/>
                    </w:rPr>
                    <w:t>暂存在带盖塑料桶内，及时</w:t>
                  </w:r>
                  <w:r>
                    <w:rPr>
                      <w:rFonts w:hint="eastAsia" w:eastAsia="宋体" w:cs="Times New Roman"/>
                      <w:color w:val="auto"/>
                      <w:sz w:val="21"/>
                      <w:szCs w:val="21"/>
                      <w:lang w:val="en-US" w:eastAsia="zh-CN"/>
                    </w:rPr>
                    <w:t>封盖并做到</w:t>
                  </w:r>
                  <w:r>
                    <w:rPr>
                      <w:rFonts w:hint="eastAsia" w:ascii="Times New Roman" w:hAnsi="Times New Roman" w:eastAsia="宋体" w:cs="Times New Roman"/>
                      <w:color w:val="auto"/>
                      <w:sz w:val="21"/>
                      <w:szCs w:val="21"/>
                      <w:lang w:val="en-US" w:eastAsia="zh-CN"/>
                    </w:rPr>
                    <w:t>日产日清；</w:t>
                  </w:r>
                  <w:r>
                    <w:rPr>
                      <w:rFonts w:hint="eastAsia" w:ascii="Times New Roman" w:hAnsi="Times New Roman" w:cs="Times New Roman"/>
                      <w:color w:val="auto"/>
                      <w:sz w:val="21"/>
                      <w:szCs w:val="21"/>
                      <w:highlight w:val="none"/>
                      <w:lang w:eastAsia="zh-CN"/>
                    </w:rPr>
                    <w:t>项目车间整体密闭，车间内设置机械排风设施。脱醇废气经设备自带的冷凝回收装置处理后无组织排放，生产过程中发酵环节产生的少量废气和堆存废气由车间通风换气后无组织排放。</w:t>
                  </w:r>
                </w:p>
              </w:tc>
              <w:tc>
                <w:tcPr>
                  <w:tcW w:w="304" w:type="pct"/>
                  <w:tcBorders>
                    <w:tl2br w:val="nil"/>
                    <w:tr2bl w:val="nil"/>
                  </w:tcBorders>
                  <w:vAlign w:val="center"/>
                </w:tcPr>
                <w:p w14:paraId="3C303859">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40E6A0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821" w:type="pct"/>
                  <w:vMerge w:val="restart"/>
                  <w:tcBorders>
                    <w:tl2br w:val="nil"/>
                    <w:tr2bl w:val="nil"/>
                  </w:tcBorders>
                  <w:vAlign w:val="center"/>
                </w:tcPr>
                <w:p w14:paraId="3855A5CB">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《汉中市人民政府关于印发深化大气污染治理推进实现“十四五”空气质量目标实施方案</w:t>
                  </w:r>
                </w:p>
                <w:p w14:paraId="1BB8B398">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》的通知（</w:t>
                  </w:r>
                  <w:bookmarkStart w:id="4" w:name="OLE_LINK179"/>
                  <w:r>
                    <w:rPr>
                      <w:rFonts w:hint="eastAsia" w:cs="Times New Roman"/>
                      <w:color w:val="auto"/>
                      <w:kern w:val="0"/>
                      <w:sz w:val="21"/>
                      <w:szCs w:val="21"/>
                      <w:lang w:eastAsia="zh-CN"/>
                    </w:rPr>
                    <w:t>汉政发</w:t>
                  </w:r>
                  <w:r>
                    <w:rPr>
                      <w:rFonts w:hint="default" w:ascii="Times New Roman" w:hAnsi="Times New Roman" w:eastAsia="宋体" w:cs="Times New Roman"/>
                      <w:color w:val="auto"/>
                      <w:kern w:val="0"/>
                      <w:sz w:val="21"/>
                      <w:szCs w:val="21"/>
                    </w:rPr>
                    <w:t>〔202</w:t>
                  </w:r>
                  <w:r>
                    <w:rPr>
                      <w:rFonts w:hint="eastAsia" w:cs="Times New Roman"/>
                      <w:color w:val="auto"/>
                      <w:kern w:val="0"/>
                      <w:sz w:val="21"/>
                      <w:szCs w:val="21"/>
                      <w:lang w:val="en-US" w:eastAsia="zh-CN"/>
                    </w:rPr>
                    <w:t>4</w:t>
                  </w:r>
                  <w:r>
                    <w:rPr>
                      <w:rFonts w:hint="default" w:ascii="Times New Roman" w:hAnsi="Times New Roman" w:eastAsia="宋体" w:cs="Times New Roman"/>
                      <w:color w:val="auto"/>
                      <w:kern w:val="0"/>
                      <w:sz w:val="21"/>
                      <w:szCs w:val="21"/>
                    </w:rPr>
                    <w:t>〕</w:t>
                  </w:r>
                  <w:r>
                    <w:rPr>
                      <w:rFonts w:hint="eastAsia" w:cs="Times New Roman"/>
                      <w:color w:val="auto"/>
                      <w:kern w:val="0"/>
                      <w:sz w:val="21"/>
                      <w:szCs w:val="21"/>
                      <w:lang w:val="en-US" w:eastAsia="zh-CN"/>
                    </w:rPr>
                    <w:t>8</w:t>
                  </w:r>
                  <w:r>
                    <w:rPr>
                      <w:rFonts w:hint="default" w:ascii="Times New Roman" w:hAnsi="Times New Roman" w:eastAsia="宋体" w:cs="Times New Roman"/>
                      <w:color w:val="auto"/>
                      <w:kern w:val="0"/>
                      <w:sz w:val="21"/>
                      <w:szCs w:val="21"/>
                    </w:rPr>
                    <w:t>号</w:t>
                  </w:r>
                  <w:bookmarkEnd w:id="4"/>
                  <w:r>
                    <w:rPr>
                      <w:rFonts w:hint="default" w:ascii="Times New Roman" w:hAnsi="Times New Roman" w:eastAsia="宋体" w:cs="Times New Roman"/>
                      <w:color w:val="auto"/>
                      <w:kern w:val="0"/>
                      <w:sz w:val="21"/>
                      <w:szCs w:val="21"/>
                    </w:rPr>
                    <w:t>）</w:t>
                  </w:r>
                </w:p>
              </w:tc>
              <w:tc>
                <w:tcPr>
                  <w:tcW w:w="2175" w:type="pct"/>
                  <w:tcBorders>
                    <w:tl2br w:val="nil"/>
                    <w:tr2bl w:val="nil"/>
                  </w:tcBorders>
                  <w:vAlign w:val="center"/>
                </w:tcPr>
                <w:p w14:paraId="2FFFFD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严格准入要求。新、改、扩建项目严格落实各项准入要求，原则上采用清洁运输方式，对属于节能降碳工业重点领域的新建项目必须按照能效标杆水平建设。</w:t>
                  </w:r>
                </w:p>
              </w:tc>
              <w:tc>
                <w:tcPr>
                  <w:tcW w:w="1698" w:type="pct"/>
                  <w:tcBorders>
                    <w:tl2br w:val="nil"/>
                    <w:tr2bl w:val="nil"/>
                  </w:tcBorders>
                  <w:vAlign w:val="center"/>
                </w:tcPr>
                <w:p w14:paraId="3DF05C6B">
                  <w:pPr>
                    <w:pStyle w:val="22"/>
                    <w:keepNext w:val="0"/>
                    <w:keepLines w:val="0"/>
                    <w:pageBreakBefore w:val="0"/>
                    <w:kinsoku/>
                    <w:wordWrap/>
                    <w:overflowPunct/>
                    <w:topLinePunct w:val="0"/>
                    <w:bidi w:val="0"/>
                    <w:adjustRightInd w:val="0"/>
                    <w:snapToGrid w:val="0"/>
                    <w:spacing w:before="0" w:beforeAutospacing="0" w:after="0" w:afterAutospacing="0" w:line="240" w:lineRule="auto"/>
                    <w:ind w:firstLine="0" w:firstLineChars="0"/>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kern w:val="0"/>
                      <w:sz w:val="21"/>
                      <w:szCs w:val="21"/>
                      <w:lang w:val="en-US" w:eastAsia="zh-CN" w:bidi="ar-SA"/>
                    </w:rPr>
                    <w:t>本项目属于C1519其他酒制造，</w:t>
                  </w:r>
                  <w:r>
                    <w:rPr>
                      <w:rFonts w:hint="eastAsia" w:ascii="Times New Roman" w:hAnsi="Times New Roman" w:eastAsia="宋体" w:cs="Times New Roman"/>
                      <w:color w:val="auto"/>
                      <w:kern w:val="2"/>
                      <w:sz w:val="21"/>
                      <w:szCs w:val="21"/>
                      <w:lang w:eastAsia="zh-CN"/>
                    </w:rPr>
                    <w:t>经分析，本项目符合</w:t>
                  </w:r>
                  <w:r>
                    <w:rPr>
                      <w:rFonts w:hint="eastAsia" w:ascii="Times New Roman" w:hAnsi="Times New Roman" w:cs="Times New Roman"/>
                      <w:color w:val="auto"/>
                      <w:kern w:val="2"/>
                      <w:sz w:val="21"/>
                      <w:szCs w:val="21"/>
                      <w:lang w:eastAsia="zh-CN"/>
                    </w:rPr>
                    <w:t>汉中</w:t>
                  </w:r>
                  <w:r>
                    <w:rPr>
                      <w:rFonts w:hint="eastAsia" w:ascii="Times New Roman" w:hAnsi="Times New Roman" w:eastAsia="宋体" w:cs="Times New Roman"/>
                      <w:color w:val="auto"/>
                      <w:kern w:val="2"/>
                      <w:sz w:val="21"/>
                      <w:szCs w:val="21"/>
                      <w:lang w:eastAsia="zh-CN"/>
                    </w:rPr>
                    <w:t>市“三线一单”生态环境分区管控要求，</w:t>
                  </w:r>
                  <w:r>
                    <w:rPr>
                      <w:rFonts w:hint="eastAsia" w:ascii="Times New Roman" w:hAnsi="Times New Roman" w:cs="Times New Roman"/>
                      <w:color w:val="auto"/>
                      <w:kern w:val="2"/>
                      <w:sz w:val="21"/>
                      <w:szCs w:val="21"/>
                      <w:lang w:eastAsia="zh-CN"/>
                    </w:rPr>
                    <w:t>成品酒通过瓶装方式进行外售</w:t>
                  </w:r>
                  <w:r>
                    <w:rPr>
                      <w:rFonts w:hint="eastAsia" w:ascii="Times New Roman" w:hAnsi="Times New Roman" w:eastAsia="宋体" w:cs="Times New Roman"/>
                      <w:color w:val="auto"/>
                      <w:kern w:val="0"/>
                      <w:sz w:val="21"/>
                      <w:szCs w:val="21"/>
                      <w:lang w:val="en-US" w:eastAsia="zh-CN" w:bidi="ar-SA"/>
                    </w:rPr>
                    <w:t>。</w:t>
                  </w:r>
                </w:p>
              </w:tc>
              <w:tc>
                <w:tcPr>
                  <w:tcW w:w="304" w:type="pct"/>
                  <w:tcBorders>
                    <w:tl2br w:val="nil"/>
                    <w:tr2bl w:val="nil"/>
                  </w:tcBorders>
                  <w:vAlign w:val="center"/>
                </w:tcPr>
                <w:p w14:paraId="27544199">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eastAsia="zh-CN"/>
                    </w:rPr>
                  </w:pPr>
                  <w:r>
                    <w:rPr>
                      <w:rFonts w:hint="eastAsia" w:cs="Times New Roman"/>
                      <w:color w:val="auto"/>
                      <w:kern w:val="0"/>
                      <w:sz w:val="21"/>
                      <w:szCs w:val="21"/>
                      <w:lang w:eastAsia="zh-CN"/>
                    </w:rPr>
                    <w:t>符合</w:t>
                  </w:r>
                </w:p>
              </w:tc>
            </w:tr>
            <w:tr w14:paraId="0FCBD7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21" w:type="pct"/>
                  <w:vMerge w:val="continue"/>
                  <w:tcBorders>
                    <w:tl2br w:val="nil"/>
                    <w:tr2bl w:val="nil"/>
                  </w:tcBorders>
                  <w:vAlign w:val="center"/>
                </w:tcPr>
                <w:p w14:paraId="481F9F27">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rPr>
                  </w:pPr>
                </w:p>
              </w:tc>
              <w:tc>
                <w:tcPr>
                  <w:tcW w:w="2175" w:type="pct"/>
                  <w:tcBorders>
                    <w:tl2br w:val="nil"/>
                    <w:tr2bl w:val="nil"/>
                  </w:tcBorders>
                  <w:vAlign w:val="center"/>
                </w:tcPr>
                <w:p w14:paraId="3DBA21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加强恶臭异味污染治理。开展恶臭异味扰民问题排查整治。</w:t>
                  </w:r>
                </w:p>
              </w:tc>
              <w:tc>
                <w:tcPr>
                  <w:tcW w:w="1698" w:type="pct"/>
                  <w:tcBorders>
                    <w:tl2br w:val="nil"/>
                    <w:tr2bl w:val="nil"/>
                  </w:tcBorders>
                  <w:vAlign w:val="center"/>
                </w:tcPr>
                <w:p w14:paraId="04E2A07A">
                  <w:pPr>
                    <w:pStyle w:val="22"/>
                    <w:keepNext w:val="0"/>
                    <w:keepLines w:val="0"/>
                    <w:pageBreakBefore w:val="0"/>
                    <w:kinsoku/>
                    <w:wordWrap/>
                    <w:overflowPunct/>
                    <w:topLinePunct w:val="0"/>
                    <w:bidi w:val="0"/>
                    <w:adjustRightInd w:val="0"/>
                    <w:snapToGrid w:val="0"/>
                    <w:spacing w:before="0" w:beforeAutospacing="0" w:after="0" w:afterAutospacing="0" w:line="240" w:lineRule="auto"/>
                    <w:ind w:firstLine="0" w:firstLineChars="0"/>
                    <w:textAlignment w:val="auto"/>
                    <w:rPr>
                      <w:rFonts w:hint="default" w:ascii="Times New Roman" w:hAnsi="Times New Roman" w:eastAsia="宋体" w:cs="Times New Roman"/>
                      <w:color w:val="auto"/>
                      <w:sz w:val="21"/>
                      <w:szCs w:val="21"/>
                    </w:rPr>
                  </w:pPr>
                  <w:r>
                    <w:rPr>
                      <w:rFonts w:hint="eastAsia" w:ascii="Times New Roman" w:hAnsi="Times New Roman" w:cs="Times New Roman"/>
                      <w:color w:val="auto"/>
                      <w:kern w:val="2"/>
                      <w:sz w:val="21"/>
                      <w:szCs w:val="21"/>
                      <w:highlight w:val="none"/>
                      <w:lang w:eastAsia="zh-CN"/>
                    </w:rPr>
                    <w:t>生产中产生的废气主要包括发酵废气、脱醇废气和</w:t>
                  </w:r>
                  <w:r>
                    <w:rPr>
                      <w:rFonts w:hint="eastAsia" w:ascii="Times New Roman" w:hAnsi="Times New Roman" w:cs="Times New Roman"/>
                      <w:color w:val="auto"/>
                      <w:kern w:val="2"/>
                      <w:sz w:val="21"/>
                      <w:szCs w:val="21"/>
                      <w:highlight w:val="none"/>
                      <w:lang w:val="en-US" w:eastAsia="zh-CN"/>
                    </w:rPr>
                    <w:t>过滤残渣堆存废气</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lang w:val="en-US" w:eastAsia="zh-CN"/>
                    </w:rPr>
                    <w:t>过滤残渣</w:t>
                  </w:r>
                  <w:r>
                    <w:rPr>
                      <w:rFonts w:hint="eastAsia" w:ascii="Times New Roman" w:hAnsi="Times New Roman" w:eastAsia="宋体" w:cs="Times New Roman"/>
                      <w:color w:val="auto"/>
                      <w:sz w:val="21"/>
                      <w:szCs w:val="21"/>
                      <w:lang w:val="en-US" w:eastAsia="zh-CN"/>
                    </w:rPr>
                    <w:t>暂存在带盖塑料桶内，及时</w:t>
                  </w:r>
                  <w:r>
                    <w:rPr>
                      <w:rFonts w:hint="eastAsia" w:eastAsia="宋体" w:cs="Times New Roman"/>
                      <w:color w:val="auto"/>
                      <w:sz w:val="21"/>
                      <w:szCs w:val="21"/>
                      <w:lang w:val="en-US" w:eastAsia="zh-CN"/>
                    </w:rPr>
                    <w:t>封盖并做到</w:t>
                  </w:r>
                  <w:r>
                    <w:rPr>
                      <w:rFonts w:hint="eastAsia" w:ascii="Times New Roman" w:hAnsi="Times New Roman" w:eastAsia="宋体" w:cs="Times New Roman"/>
                      <w:color w:val="auto"/>
                      <w:sz w:val="21"/>
                      <w:szCs w:val="21"/>
                      <w:lang w:val="en-US" w:eastAsia="zh-CN"/>
                    </w:rPr>
                    <w:t>日产日清；</w:t>
                  </w:r>
                  <w:r>
                    <w:rPr>
                      <w:rFonts w:hint="eastAsia" w:ascii="Times New Roman" w:hAnsi="Times New Roman" w:cs="Times New Roman"/>
                      <w:color w:val="auto"/>
                      <w:sz w:val="21"/>
                      <w:szCs w:val="21"/>
                      <w:highlight w:val="none"/>
                      <w:lang w:eastAsia="zh-CN"/>
                    </w:rPr>
                    <w:t>项目车间整体密闭，车间内设置机械排风设施。脱醇废气经设备自带的冷凝回收装置处理后无组织排放，生产过程中发酵环节产生的少量废气和堆存废气由车间通风换气后无组织排放。</w:t>
                  </w:r>
                </w:p>
              </w:tc>
              <w:tc>
                <w:tcPr>
                  <w:tcW w:w="304" w:type="pct"/>
                  <w:tcBorders>
                    <w:tl2br w:val="nil"/>
                    <w:tr2bl w:val="nil"/>
                  </w:tcBorders>
                  <w:vAlign w:val="center"/>
                </w:tcPr>
                <w:p w14:paraId="1E6ABB30">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eastAsia="zh-CN"/>
                    </w:rPr>
                  </w:pPr>
                  <w:r>
                    <w:rPr>
                      <w:rFonts w:hint="eastAsia" w:cs="Times New Roman"/>
                      <w:color w:val="auto"/>
                      <w:kern w:val="0"/>
                      <w:sz w:val="21"/>
                      <w:szCs w:val="21"/>
                      <w:lang w:eastAsia="zh-CN"/>
                    </w:rPr>
                    <w:t>符合</w:t>
                  </w:r>
                </w:p>
              </w:tc>
            </w:tr>
            <w:tr w14:paraId="5EB4C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1" w:type="pct"/>
                  <w:tcBorders>
                    <w:tl2br w:val="nil"/>
                    <w:tr2bl w:val="nil"/>
                  </w:tcBorders>
                  <w:vAlign w:val="center"/>
                </w:tcPr>
                <w:p w14:paraId="5EEBF38B">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rPr>
                  </w:pPr>
                  <w:r>
                    <w:rPr>
                      <w:rFonts w:hint="eastAsia" w:cs="Times New Roman"/>
                      <w:color w:val="auto"/>
                      <w:sz w:val="21"/>
                      <w:szCs w:val="21"/>
                      <w:lang w:eastAsia="zh-CN"/>
                    </w:rPr>
                    <w:t>《陕西省大气污染治理专项行动方案》（</w:t>
                  </w:r>
                  <w:r>
                    <w:rPr>
                      <w:rFonts w:hint="eastAsia" w:cs="Times New Roman"/>
                      <w:color w:val="auto"/>
                      <w:sz w:val="21"/>
                      <w:szCs w:val="21"/>
                      <w:lang w:val="en-US" w:eastAsia="zh-CN"/>
                    </w:rPr>
                    <w:t>2023-2027年</w:t>
                  </w:r>
                  <w:r>
                    <w:rPr>
                      <w:rFonts w:hint="eastAsia" w:cs="Times New Roman"/>
                      <w:color w:val="auto"/>
                      <w:sz w:val="21"/>
                      <w:szCs w:val="21"/>
                      <w:lang w:eastAsia="zh-CN"/>
                    </w:rPr>
                    <w:t>）</w:t>
                  </w:r>
                </w:p>
              </w:tc>
              <w:tc>
                <w:tcPr>
                  <w:tcW w:w="2175" w:type="pct"/>
                  <w:tcBorders>
                    <w:tl2br w:val="nil"/>
                    <w:tr2bl w:val="nil"/>
                  </w:tcBorders>
                  <w:vAlign w:val="center"/>
                </w:tcPr>
                <w:p w14:paraId="3C702ED9">
                  <w:pPr>
                    <w:keepNext w:val="0"/>
                    <w:keepLines w:val="0"/>
                    <w:pageBreakBefore w:val="0"/>
                    <w:kinsoku/>
                    <w:wordWrap/>
                    <w:overflowPunct/>
                    <w:topLinePunct w:val="0"/>
                    <w:bidi w:val="0"/>
                    <w:adjustRightInd w:val="0"/>
                    <w:snapToGrid w:val="0"/>
                    <w:spacing w:line="240" w:lineRule="auto"/>
                    <w:ind w:firstLine="0" w:firstLineChars="0"/>
                    <w:jc w:val="left"/>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1.能源消费结构调整。</w:t>
                  </w:r>
                  <w:r>
                    <w:rPr>
                      <w:rFonts w:hint="eastAsia" w:cs="Times New Roman"/>
                      <w:color w:val="auto"/>
                      <w:kern w:val="2"/>
                      <w:sz w:val="21"/>
                      <w:szCs w:val="21"/>
                      <w:lang w:val="en-US" w:eastAsia="zh-CN" w:bidi="ar-SA"/>
                    </w:rPr>
                    <w:t>...推进工业生产、建筑供暖供冷、交通运输、农业生产、居民生活五大领域实施“以电代煤”，到2025年电能在终端能源消费中的比重提高到27%以上。</w:t>
                  </w:r>
                </w:p>
              </w:tc>
              <w:tc>
                <w:tcPr>
                  <w:tcW w:w="1698" w:type="pct"/>
                  <w:tcBorders>
                    <w:tl2br w:val="nil"/>
                    <w:tr2bl w:val="nil"/>
                  </w:tcBorders>
                  <w:vAlign w:val="center"/>
                </w:tcPr>
                <w:p w14:paraId="30EA1785">
                  <w:pPr>
                    <w:pStyle w:val="22"/>
                    <w:keepNext w:val="0"/>
                    <w:keepLines w:val="0"/>
                    <w:pageBreakBefore w:val="0"/>
                    <w:numPr>
                      <w:ilvl w:val="0"/>
                      <w:numId w:val="0"/>
                    </w:numPr>
                    <w:kinsoku/>
                    <w:wordWrap/>
                    <w:overflowPunct/>
                    <w:topLinePunct w:val="0"/>
                    <w:bidi w:val="0"/>
                    <w:adjustRightInd w:val="0"/>
                    <w:snapToGrid w:val="0"/>
                    <w:spacing w:before="0" w:beforeAutospacing="0" w:after="0" w:afterAutospacing="0" w:line="240" w:lineRule="auto"/>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eastAsia="zh-CN"/>
                    </w:rPr>
                    <w:t>本项目属于</w:t>
                  </w:r>
                  <w:r>
                    <w:rPr>
                      <w:rFonts w:hint="eastAsia" w:ascii="Times New Roman" w:hAnsi="Times New Roman" w:cs="Times New Roman"/>
                      <w:color w:val="auto"/>
                      <w:sz w:val="21"/>
                      <w:szCs w:val="21"/>
                      <w:lang w:val="en-US" w:eastAsia="zh-CN"/>
                    </w:rPr>
                    <w:t>C1519其他酒制造</w:t>
                  </w:r>
                  <w:r>
                    <w:rPr>
                      <w:rFonts w:hint="default" w:ascii="Times New Roman" w:hAnsi="Times New Roman" w:eastAsia="宋体" w:cs="Times New Roman"/>
                      <w:color w:val="auto"/>
                      <w:kern w:val="2"/>
                      <w:sz w:val="21"/>
                      <w:szCs w:val="21"/>
                    </w:rPr>
                    <w:t>，</w:t>
                  </w:r>
                  <w:r>
                    <w:rPr>
                      <w:rFonts w:hint="eastAsia" w:ascii="Times New Roman" w:hAnsi="Times New Roman" w:cs="Times New Roman"/>
                      <w:color w:val="auto"/>
                      <w:kern w:val="2"/>
                      <w:sz w:val="21"/>
                      <w:szCs w:val="21"/>
                      <w:lang w:eastAsia="zh-CN"/>
                    </w:rPr>
                    <w:t>生产过程中使用电作为能源，</w:t>
                  </w:r>
                  <w:r>
                    <w:rPr>
                      <w:rFonts w:hint="default" w:ascii="Times New Roman" w:hAnsi="Times New Roman" w:eastAsia="宋体" w:cs="Times New Roman"/>
                      <w:color w:val="auto"/>
                      <w:kern w:val="2"/>
                      <w:sz w:val="21"/>
                      <w:szCs w:val="21"/>
                      <w:lang w:val="en-US" w:eastAsia="zh-CN"/>
                    </w:rPr>
                    <w:t>属于清洁能源</w:t>
                  </w:r>
                  <w:r>
                    <w:rPr>
                      <w:rFonts w:hint="eastAsia" w:ascii="Times New Roman" w:hAnsi="Times New Roman" w:cs="Times New Roman"/>
                      <w:color w:val="auto"/>
                      <w:kern w:val="2"/>
                      <w:sz w:val="21"/>
                      <w:szCs w:val="21"/>
                      <w:lang w:val="en-US" w:eastAsia="zh-CN"/>
                    </w:rPr>
                    <w:t>。</w:t>
                  </w:r>
                </w:p>
              </w:tc>
              <w:tc>
                <w:tcPr>
                  <w:tcW w:w="304" w:type="pct"/>
                  <w:tcBorders>
                    <w:tl2br w:val="nil"/>
                    <w:tr2bl w:val="nil"/>
                  </w:tcBorders>
                  <w:vAlign w:val="center"/>
                </w:tcPr>
                <w:p w14:paraId="09449468">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rPr>
                  </w:pPr>
                  <w:r>
                    <w:rPr>
                      <w:rFonts w:hint="eastAsia" w:cs="Times New Roman"/>
                      <w:color w:val="auto"/>
                      <w:kern w:val="0"/>
                      <w:sz w:val="21"/>
                      <w:szCs w:val="21"/>
                      <w:lang w:eastAsia="zh-CN"/>
                    </w:rPr>
                    <w:t>符合</w:t>
                  </w:r>
                </w:p>
              </w:tc>
            </w:tr>
            <w:tr w14:paraId="45F344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1" w:type="pct"/>
                  <w:tcBorders>
                    <w:tl2br w:val="nil"/>
                    <w:tr2bl w:val="nil"/>
                  </w:tcBorders>
                  <w:vAlign w:val="center"/>
                </w:tcPr>
                <w:p w14:paraId="448AA662">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w:t>
                  </w:r>
                  <w:bookmarkStart w:id="5" w:name="OLE_LINK185"/>
                  <w:r>
                    <w:rPr>
                      <w:rFonts w:hint="eastAsia" w:cs="Times New Roman"/>
                      <w:color w:val="auto"/>
                      <w:kern w:val="0"/>
                      <w:sz w:val="21"/>
                      <w:szCs w:val="21"/>
                      <w:lang w:eastAsia="zh-CN"/>
                    </w:rPr>
                    <w:t>汉中市</w:t>
                  </w:r>
                  <w:r>
                    <w:rPr>
                      <w:rFonts w:hint="default" w:ascii="Times New Roman" w:hAnsi="Times New Roman" w:eastAsia="宋体" w:cs="Times New Roman"/>
                      <w:color w:val="auto"/>
                      <w:kern w:val="0"/>
                      <w:sz w:val="21"/>
                      <w:szCs w:val="21"/>
                    </w:rPr>
                    <w:t>大气污染治理专项行动方案（2023-2027年）</w:t>
                  </w:r>
                  <w:bookmarkEnd w:id="5"/>
                  <w:r>
                    <w:rPr>
                      <w:rFonts w:hint="default" w:ascii="Times New Roman" w:hAnsi="Times New Roman" w:eastAsia="宋体" w:cs="Times New Roman"/>
                      <w:color w:val="auto"/>
                      <w:kern w:val="0"/>
                      <w:sz w:val="21"/>
                      <w:szCs w:val="21"/>
                    </w:rPr>
                    <w:t>》</w:t>
                  </w:r>
                </w:p>
              </w:tc>
              <w:tc>
                <w:tcPr>
                  <w:tcW w:w="2175" w:type="pct"/>
                  <w:tcBorders>
                    <w:tl2br w:val="nil"/>
                    <w:tr2bl w:val="nil"/>
                  </w:tcBorders>
                  <w:vAlign w:val="center"/>
                </w:tcPr>
                <w:p w14:paraId="07C4F708">
                  <w:pPr>
                    <w:keepNext w:val="0"/>
                    <w:keepLines w:val="0"/>
                    <w:pageBreakBefore w:val="0"/>
                    <w:numPr>
                      <w:ilvl w:val="0"/>
                      <w:numId w:val="0"/>
                    </w:numPr>
                    <w:kinsoku/>
                    <w:wordWrap/>
                    <w:overflowPunct/>
                    <w:topLinePunct w:val="0"/>
                    <w:bidi w:val="0"/>
                    <w:adjustRightInd w:val="0"/>
                    <w:snapToGrid w:val="0"/>
                    <w:spacing w:line="240" w:lineRule="auto"/>
                    <w:jc w:val="left"/>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eastAsia="宋体" w:cs="Times New Roman"/>
                      <w:b w:val="0"/>
                      <w:bCs w:val="0"/>
                      <w:color w:val="auto"/>
                      <w:sz w:val="21"/>
                      <w:szCs w:val="21"/>
                      <w:lang w:eastAsia="zh-CN"/>
                    </w:rPr>
                    <w:t>3.产业发展结构调整。严格落实国家产业规划、产业政策、"三线一单"、规划环评，以及产能置换、煤炭消费减量替代、区域污染物削减等要求，严格执行《产业结构调整指导目录》。</w:t>
                  </w:r>
                </w:p>
              </w:tc>
              <w:tc>
                <w:tcPr>
                  <w:tcW w:w="1698" w:type="pct"/>
                  <w:tcBorders>
                    <w:tl2br w:val="nil"/>
                    <w:tr2bl w:val="nil"/>
                  </w:tcBorders>
                  <w:vAlign w:val="center"/>
                </w:tcPr>
                <w:p w14:paraId="61D94A0C">
                  <w:pPr>
                    <w:pStyle w:val="22"/>
                    <w:keepNext w:val="0"/>
                    <w:keepLines w:val="0"/>
                    <w:pageBreakBefore w:val="0"/>
                    <w:numPr>
                      <w:ilvl w:val="0"/>
                      <w:numId w:val="0"/>
                    </w:numPr>
                    <w:kinsoku/>
                    <w:wordWrap/>
                    <w:overflowPunct/>
                    <w:topLinePunct w:val="0"/>
                    <w:bidi w:val="0"/>
                    <w:adjustRightInd w:val="0"/>
                    <w:snapToGrid w:val="0"/>
                    <w:spacing w:before="0" w:beforeAutospacing="0" w:after="0" w:afterAutospacing="0" w:line="240" w:lineRule="auto"/>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cs="Times New Roman"/>
                      <w:color w:val="auto"/>
                      <w:sz w:val="21"/>
                      <w:szCs w:val="21"/>
                      <w:lang w:eastAsia="zh-CN"/>
                    </w:rPr>
                    <w:t>本项目属于</w:t>
                  </w:r>
                  <w:r>
                    <w:rPr>
                      <w:rFonts w:hint="eastAsia" w:ascii="Times New Roman" w:hAnsi="Times New Roman" w:cs="Times New Roman"/>
                      <w:color w:val="auto"/>
                      <w:sz w:val="21"/>
                      <w:szCs w:val="21"/>
                      <w:lang w:val="en-US" w:eastAsia="zh-CN"/>
                    </w:rPr>
                    <w:t>C1519其他酒制造</w:t>
                  </w:r>
                  <w:r>
                    <w:rPr>
                      <w:rFonts w:hint="default" w:ascii="Times New Roman" w:hAnsi="Times New Roman" w:eastAsia="宋体" w:cs="Times New Roman"/>
                      <w:color w:val="auto"/>
                      <w:kern w:val="2"/>
                      <w:sz w:val="21"/>
                      <w:szCs w:val="21"/>
                    </w:rPr>
                    <w:t>，</w:t>
                  </w:r>
                  <w:r>
                    <w:rPr>
                      <w:rFonts w:hint="eastAsia" w:ascii="Times New Roman" w:hAnsi="Times New Roman" w:eastAsia="宋体" w:cs="Times New Roman"/>
                      <w:color w:val="auto"/>
                      <w:kern w:val="2"/>
                      <w:sz w:val="21"/>
                      <w:szCs w:val="21"/>
                      <w:lang w:eastAsia="zh-CN"/>
                    </w:rPr>
                    <w:t>经分析，本项目符合</w:t>
                  </w:r>
                  <w:r>
                    <w:rPr>
                      <w:rFonts w:hint="eastAsia" w:ascii="Times New Roman" w:hAnsi="Times New Roman" w:cs="Times New Roman"/>
                      <w:color w:val="auto"/>
                      <w:kern w:val="2"/>
                      <w:sz w:val="21"/>
                      <w:szCs w:val="21"/>
                      <w:lang w:eastAsia="zh-CN"/>
                    </w:rPr>
                    <w:t>汉中</w:t>
                  </w:r>
                  <w:r>
                    <w:rPr>
                      <w:rFonts w:hint="eastAsia" w:ascii="Times New Roman" w:hAnsi="Times New Roman" w:eastAsia="宋体" w:cs="Times New Roman"/>
                      <w:color w:val="auto"/>
                      <w:kern w:val="2"/>
                      <w:sz w:val="21"/>
                      <w:szCs w:val="21"/>
                      <w:lang w:eastAsia="zh-CN"/>
                    </w:rPr>
                    <w:t>市“三线一单”生态环境分区管控要求，满足相关产业政策要求等。</w:t>
                  </w:r>
                </w:p>
              </w:tc>
              <w:tc>
                <w:tcPr>
                  <w:tcW w:w="304" w:type="pct"/>
                  <w:tcBorders>
                    <w:tl2br w:val="nil"/>
                    <w:tr2bl w:val="nil"/>
                  </w:tcBorders>
                  <w:vAlign w:val="center"/>
                </w:tcPr>
                <w:p w14:paraId="6833840C">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符合</w:t>
                  </w:r>
                </w:p>
              </w:tc>
            </w:tr>
            <w:tr w14:paraId="71680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1" w:type="pct"/>
                  <w:tcBorders>
                    <w:tl2br w:val="nil"/>
                    <w:tr2bl w:val="nil"/>
                  </w:tcBorders>
                  <w:vAlign w:val="center"/>
                </w:tcPr>
                <w:p w14:paraId="15C5B8E0">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eastAsia="zh-CN"/>
                    </w:rPr>
                  </w:pPr>
                  <w:r>
                    <w:rPr>
                      <w:rFonts w:hint="eastAsia" w:cs="Times New Roman"/>
                      <w:color w:val="auto"/>
                      <w:kern w:val="0"/>
                      <w:sz w:val="21"/>
                      <w:szCs w:val="21"/>
                      <w:lang w:eastAsia="zh-CN"/>
                    </w:rPr>
                    <w:t>《汉中市汉江水质保护条例》</w:t>
                  </w:r>
                </w:p>
              </w:tc>
              <w:tc>
                <w:tcPr>
                  <w:tcW w:w="2175" w:type="pct"/>
                  <w:tcBorders>
                    <w:tl2br w:val="nil"/>
                    <w:tr2bl w:val="nil"/>
                  </w:tcBorders>
                  <w:vAlign w:val="center"/>
                </w:tcPr>
                <w:p w14:paraId="63C92FAB">
                  <w:pPr>
                    <w:keepNext w:val="0"/>
                    <w:keepLines w:val="0"/>
                    <w:pageBreakBefore w:val="0"/>
                    <w:numPr>
                      <w:ilvl w:val="0"/>
                      <w:numId w:val="0"/>
                    </w:numPr>
                    <w:kinsoku/>
                    <w:wordWrap/>
                    <w:overflowPunct/>
                    <w:topLinePunct w:val="0"/>
                    <w:bidi w:val="0"/>
                    <w:adjustRightInd w:val="0"/>
                    <w:snapToGrid w:val="0"/>
                    <w:spacing w:line="240" w:lineRule="auto"/>
                    <w:jc w:val="left"/>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eastAsia="宋体" w:cs="Times New Roman"/>
                      <w:b w:val="0"/>
                      <w:bCs w:val="0"/>
                      <w:color w:val="auto"/>
                      <w:sz w:val="21"/>
                      <w:szCs w:val="21"/>
                      <w:lang w:eastAsia="zh-CN"/>
                    </w:rPr>
                    <w:t>第二十六条 排放工业废水的企业应当采取有效措施，收集和处理产生的废水，防止污染环境。鼓励企业进行技术改造，淘汰污染水环境的落后工艺和设备，减少废水和污染物排放量。</w:t>
                  </w:r>
                </w:p>
              </w:tc>
              <w:tc>
                <w:tcPr>
                  <w:tcW w:w="1698" w:type="pct"/>
                  <w:vMerge w:val="restart"/>
                  <w:tcBorders>
                    <w:tl2br w:val="nil"/>
                    <w:tr2bl w:val="nil"/>
                  </w:tcBorders>
                  <w:vAlign w:val="center"/>
                </w:tcPr>
                <w:p w14:paraId="0C7B47DD">
                  <w:pPr>
                    <w:pStyle w:val="22"/>
                    <w:keepNext w:val="0"/>
                    <w:keepLines w:val="0"/>
                    <w:pageBreakBefore w:val="0"/>
                    <w:numPr>
                      <w:ilvl w:val="0"/>
                      <w:numId w:val="0"/>
                    </w:numPr>
                    <w:kinsoku/>
                    <w:wordWrap/>
                    <w:overflowPunct/>
                    <w:topLinePunct w:val="0"/>
                    <w:bidi w:val="0"/>
                    <w:adjustRightInd w:val="0"/>
                    <w:snapToGrid w:val="0"/>
                    <w:spacing w:before="0" w:beforeAutospacing="0" w:after="0" w:afterAutospacing="0" w:line="240" w:lineRule="auto"/>
                    <w:textAlignment w:val="auto"/>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本项目属</w:t>
                  </w:r>
                  <w:r>
                    <w:rPr>
                      <w:rFonts w:hint="eastAsia" w:ascii="Times New Roman" w:hAnsi="Times New Roman" w:cs="Times New Roman"/>
                      <w:color w:val="auto"/>
                      <w:sz w:val="21"/>
                      <w:szCs w:val="21"/>
                      <w:highlight w:val="none"/>
                      <w:lang w:eastAsia="zh-CN"/>
                    </w:rPr>
                    <w:t>于</w:t>
                  </w:r>
                  <w:r>
                    <w:rPr>
                      <w:rFonts w:hint="eastAsia" w:ascii="Times New Roman" w:hAnsi="Times New Roman" w:cs="Times New Roman"/>
                      <w:color w:val="auto"/>
                      <w:sz w:val="21"/>
                      <w:szCs w:val="21"/>
                      <w:highlight w:val="none"/>
                      <w:lang w:val="en-US" w:eastAsia="zh-CN"/>
                    </w:rPr>
                    <w:t>C1519其他酒制造</w:t>
                  </w:r>
                  <w:r>
                    <w:rPr>
                      <w:rFonts w:hint="default" w:ascii="Times New Roman" w:hAnsi="Times New Roman" w:eastAsia="宋体" w:cs="Times New Roman"/>
                      <w:color w:val="auto"/>
                      <w:kern w:val="2"/>
                      <w:sz w:val="21"/>
                      <w:szCs w:val="21"/>
                      <w:highlight w:val="none"/>
                    </w:rPr>
                    <w:t>，</w:t>
                  </w:r>
                  <w:r>
                    <w:rPr>
                      <w:rFonts w:hint="eastAsia" w:ascii="Times New Roman" w:hAnsi="Times New Roman" w:cs="Times New Roman"/>
                      <w:color w:val="FF0000"/>
                      <w:sz w:val="21"/>
                      <w:szCs w:val="21"/>
                      <w:highlight w:val="none"/>
                    </w:rPr>
                    <w:t>项目生产废水</w:t>
                  </w:r>
                  <w:r>
                    <w:rPr>
                      <w:rFonts w:hint="eastAsia" w:ascii="Times New Roman" w:hAnsi="Times New Roman" w:cs="Times New Roman"/>
                      <w:color w:val="FF0000"/>
                      <w:sz w:val="21"/>
                      <w:szCs w:val="21"/>
                      <w:highlight w:val="none"/>
                      <w:lang w:eastAsia="zh-CN"/>
                    </w:rPr>
                    <w:t>包括设备清洗废水、</w:t>
                  </w:r>
                  <w:r>
                    <w:rPr>
                      <w:rFonts w:hint="eastAsia" w:ascii="Times New Roman" w:hAnsi="Times New Roman" w:cs="Times New Roman"/>
                      <w:color w:val="FF0000"/>
                      <w:sz w:val="21"/>
                      <w:szCs w:val="21"/>
                      <w:highlight w:val="none"/>
                      <w:lang w:val="en-US" w:eastAsia="zh-CN"/>
                    </w:rPr>
                    <w:t>空瓶清洗废水、试验废液、试验仪器清洗废水和纯水制备浓水。设备清洗废水、试验仪器清洗废水、空瓶清洗废水和纯水制备浓水经废水收集桶收集委托检测单位检测合格，符合佛坪县污水处理厂进水水质要求后，通过罐车拉运至佛坪县污水处理厂处理；剩余少量纯水制备浓水经废水收集桶收集后用于冲厕。</w:t>
                  </w:r>
                  <w:r>
                    <w:rPr>
                      <w:rFonts w:hint="eastAsia"/>
                      <w:color w:val="auto"/>
                      <w:kern w:val="2"/>
                      <w:sz w:val="21"/>
                      <w:szCs w:val="21"/>
                      <w:highlight w:val="none"/>
                    </w:rPr>
                    <w:t>生活污水依托</w:t>
                  </w:r>
                  <w:r>
                    <w:rPr>
                      <w:rFonts w:hint="eastAsia"/>
                      <w:color w:val="auto"/>
                      <w:kern w:val="2"/>
                      <w:sz w:val="21"/>
                      <w:szCs w:val="21"/>
                      <w:highlight w:val="none"/>
                      <w:lang w:eastAsia="zh-CN"/>
                    </w:rPr>
                    <w:t>已建</w:t>
                  </w:r>
                  <w:r>
                    <w:rPr>
                      <w:rFonts w:hint="eastAsia"/>
                      <w:color w:val="auto"/>
                      <w:kern w:val="2"/>
                      <w:sz w:val="21"/>
                      <w:szCs w:val="21"/>
                      <w:highlight w:val="none"/>
                    </w:rPr>
                    <w:t>化粪池（</w:t>
                  </w:r>
                  <w:r>
                    <w:rPr>
                      <w:rFonts w:ascii="Times New Roman" w:hAnsi="Times New Roman"/>
                      <w:color w:val="auto"/>
                      <w:kern w:val="2"/>
                      <w:sz w:val="21"/>
                      <w:szCs w:val="21"/>
                      <w:highlight w:val="none"/>
                    </w:rPr>
                    <w:t>2</w:t>
                  </w:r>
                  <w:r>
                    <w:rPr>
                      <w:rFonts w:hint="eastAsia" w:ascii="Times New Roman" w:hAnsi="Times New Roman"/>
                      <w:color w:val="auto"/>
                      <w:kern w:val="2"/>
                      <w:sz w:val="21"/>
                      <w:szCs w:val="21"/>
                      <w:highlight w:val="none"/>
                    </w:rPr>
                    <w:t>0m</w:t>
                  </w:r>
                  <w:r>
                    <w:rPr>
                      <w:rFonts w:hint="eastAsia" w:ascii="Times New Roman" w:hAnsi="Times New Roman"/>
                      <w:color w:val="auto"/>
                      <w:kern w:val="2"/>
                      <w:sz w:val="21"/>
                      <w:szCs w:val="21"/>
                      <w:highlight w:val="none"/>
                      <w:vertAlign w:val="superscript"/>
                    </w:rPr>
                    <w:t>3</w:t>
                  </w:r>
                  <w:r>
                    <w:rPr>
                      <w:rFonts w:hint="eastAsia"/>
                      <w:color w:val="auto"/>
                      <w:kern w:val="2"/>
                      <w:sz w:val="21"/>
                      <w:szCs w:val="21"/>
                      <w:highlight w:val="none"/>
                    </w:rPr>
                    <w:t>）预处理后，由市政</w:t>
                  </w:r>
                  <w:r>
                    <w:rPr>
                      <w:rFonts w:hint="eastAsia"/>
                      <w:color w:val="auto"/>
                      <w:kern w:val="2"/>
                      <w:sz w:val="21"/>
                      <w:szCs w:val="21"/>
                      <w:highlight w:val="none"/>
                      <w:lang w:eastAsia="zh-CN"/>
                    </w:rPr>
                    <w:t>污水</w:t>
                  </w:r>
                  <w:r>
                    <w:rPr>
                      <w:rFonts w:hint="eastAsia"/>
                      <w:color w:val="auto"/>
                      <w:kern w:val="2"/>
                      <w:sz w:val="21"/>
                      <w:szCs w:val="21"/>
                      <w:highlight w:val="none"/>
                    </w:rPr>
                    <w:t>管网排入</w:t>
                  </w:r>
                  <w:r>
                    <w:rPr>
                      <w:rFonts w:hint="eastAsia"/>
                      <w:color w:val="auto"/>
                      <w:kern w:val="2"/>
                      <w:sz w:val="21"/>
                      <w:szCs w:val="21"/>
                      <w:highlight w:val="none"/>
                      <w:lang w:eastAsia="zh-CN"/>
                    </w:rPr>
                    <w:t>佛坪县</w:t>
                  </w:r>
                  <w:r>
                    <w:rPr>
                      <w:rFonts w:hint="eastAsia"/>
                      <w:color w:val="auto"/>
                      <w:kern w:val="2"/>
                      <w:sz w:val="21"/>
                      <w:szCs w:val="21"/>
                      <w:highlight w:val="none"/>
                    </w:rPr>
                    <w:t>污水处理厂处理</w:t>
                  </w:r>
                  <w:r>
                    <w:rPr>
                      <w:rFonts w:hint="eastAsia"/>
                      <w:color w:val="auto"/>
                      <w:kern w:val="2"/>
                      <w:sz w:val="21"/>
                      <w:szCs w:val="21"/>
                      <w:highlight w:val="none"/>
                      <w:lang w:eastAsia="zh-CN"/>
                    </w:rPr>
                    <w:t>。</w:t>
                  </w:r>
                </w:p>
              </w:tc>
              <w:tc>
                <w:tcPr>
                  <w:tcW w:w="304" w:type="pct"/>
                  <w:tcBorders>
                    <w:tl2br w:val="nil"/>
                    <w:tr2bl w:val="nil"/>
                  </w:tcBorders>
                  <w:vAlign w:val="center"/>
                </w:tcPr>
                <w:p w14:paraId="4A482E60">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cs="Times New Roman"/>
                      <w:color w:val="auto"/>
                      <w:kern w:val="0"/>
                      <w:sz w:val="21"/>
                      <w:szCs w:val="21"/>
                      <w:lang w:val="en-US" w:eastAsia="zh-CN"/>
                    </w:rPr>
                  </w:pPr>
                  <w:r>
                    <w:rPr>
                      <w:rFonts w:hint="eastAsia" w:cs="Times New Roman"/>
                      <w:color w:val="auto"/>
                      <w:kern w:val="0"/>
                      <w:sz w:val="21"/>
                      <w:szCs w:val="21"/>
                      <w:lang w:val="en-US" w:eastAsia="zh-CN"/>
                    </w:rPr>
                    <w:t>符合</w:t>
                  </w:r>
                </w:p>
              </w:tc>
            </w:tr>
            <w:tr w14:paraId="501BE4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1" w:type="pct"/>
                  <w:tcBorders>
                    <w:tl2br w:val="nil"/>
                    <w:tr2bl w:val="nil"/>
                  </w:tcBorders>
                  <w:vAlign w:val="center"/>
                </w:tcPr>
                <w:p w14:paraId="5D8CBB9A">
                  <w:pPr>
                    <w:keepNext w:val="0"/>
                    <w:keepLines w:val="0"/>
                    <w:pageBreakBefore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eastAsia="zh-CN"/>
                    </w:rPr>
                    <w:t>关于印发《汉中市重点流域水生态环境保护规划</w:t>
                  </w:r>
                  <w:r>
                    <w:rPr>
                      <w:rFonts w:hint="eastAsia" w:cs="Times New Roman"/>
                      <w:color w:val="auto"/>
                      <w:kern w:val="0"/>
                      <w:sz w:val="21"/>
                      <w:szCs w:val="21"/>
                      <w:lang w:val="en-US" w:eastAsia="zh-CN"/>
                    </w:rPr>
                    <w:t>》的通知（汉环发</w:t>
                  </w:r>
                  <w:r>
                    <w:rPr>
                      <w:rFonts w:hint="default" w:ascii="Times New Roman" w:hAnsi="Times New Roman" w:eastAsia="宋体" w:cs="Times New Roman"/>
                      <w:color w:val="auto"/>
                      <w:kern w:val="0"/>
                      <w:sz w:val="21"/>
                      <w:szCs w:val="21"/>
                    </w:rPr>
                    <w:t>〔202</w:t>
                  </w:r>
                  <w:r>
                    <w:rPr>
                      <w:rFonts w:hint="eastAsia" w:cs="Times New Roman"/>
                      <w:color w:val="auto"/>
                      <w:kern w:val="0"/>
                      <w:sz w:val="21"/>
                      <w:szCs w:val="21"/>
                      <w:lang w:val="en-US" w:eastAsia="zh-CN"/>
                    </w:rPr>
                    <w:t>3</w:t>
                  </w:r>
                  <w:r>
                    <w:rPr>
                      <w:rFonts w:hint="default" w:ascii="Times New Roman" w:hAnsi="Times New Roman" w:eastAsia="宋体" w:cs="Times New Roman"/>
                      <w:color w:val="auto"/>
                      <w:kern w:val="0"/>
                      <w:sz w:val="21"/>
                      <w:szCs w:val="21"/>
                    </w:rPr>
                    <w:t>〕</w:t>
                  </w:r>
                  <w:r>
                    <w:rPr>
                      <w:rFonts w:hint="eastAsia" w:cs="Times New Roman"/>
                      <w:color w:val="auto"/>
                      <w:kern w:val="0"/>
                      <w:sz w:val="21"/>
                      <w:szCs w:val="21"/>
                      <w:lang w:val="en-US" w:eastAsia="zh-CN"/>
                    </w:rPr>
                    <w:t>39</w:t>
                  </w:r>
                  <w:r>
                    <w:rPr>
                      <w:rFonts w:hint="default" w:ascii="Times New Roman" w:hAnsi="Times New Roman" w:eastAsia="宋体" w:cs="Times New Roman"/>
                      <w:color w:val="auto"/>
                      <w:kern w:val="0"/>
                      <w:sz w:val="21"/>
                      <w:szCs w:val="21"/>
                    </w:rPr>
                    <w:t>号）</w:t>
                  </w:r>
                </w:p>
              </w:tc>
              <w:tc>
                <w:tcPr>
                  <w:tcW w:w="2175" w:type="pct"/>
                  <w:tcBorders>
                    <w:tl2br w:val="nil"/>
                    <w:tr2bl w:val="nil"/>
                  </w:tcBorders>
                  <w:vAlign w:val="center"/>
                </w:tcPr>
                <w:p w14:paraId="56B0268F">
                  <w:pPr>
                    <w:keepNext w:val="0"/>
                    <w:keepLines w:val="0"/>
                    <w:pageBreakBefore w:val="0"/>
                    <w:numPr>
                      <w:ilvl w:val="0"/>
                      <w:numId w:val="1"/>
                    </w:numPr>
                    <w:kinsoku/>
                    <w:wordWrap/>
                    <w:overflowPunct/>
                    <w:topLinePunct w:val="0"/>
                    <w:bidi w:val="0"/>
                    <w:adjustRightInd w:val="0"/>
                    <w:snapToGrid w:val="0"/>
                    <w:spacing w:line="240" w:lineRule="auto"/>
                    <w:ind w:left="0" w:leftChars="0" w:firstLine="0" w:firstLineChars="0"/>
                    <w:jc w:val="left"/>
                    <w:textAlignment w:val="auto"/>
                    <w:rPr>
                      <w:rFonts w:hint="eastAsia" w:cs="Times New Roman"/>
                      <w:b w:val="0"/>
                      <w:bCs w:val="0"/>
                      <w:color w:val="auto"/>
                      <w:sz w:val="21"/>
                      <w:szCs w:val="21"/>
                      <w:lang w:eastAsia="zh-CN"/>
                    </w:rPr>
                  </w:pPr>
                  <w:r>
                    <w:rPr>
                      <w:rFonts w:hint="eastAsia" w:cs="Times New Roman"/>
                      <w:b w:val="0"/>
                      <w:bCs w:val="0"/>
                      <w:color w:val="auto"/>
                      <w:sz w:val="21"/>
                      <w:szCs w:val="21"/>
                      <w:lang w:eastAsia="zh-CN"/>
                    </w:rPr>
                    <w:t>推进工业企业污染治理</w:t>
                  </w:r>
                </w:p>
                <w:p w14:paraId="75EAC143">
                  <w:pPr>
                    <w:keepNext w:val="0"/>
                    <w:keepLines w:val="0"/>
                    <w:pageBreakBefore w:val="0"/>
                    <w:numPr>
                      <w:ilvl w:val="0"/>
                      <w:numId w:val="0"/>
                    </w:numPr>
                    <w:kinsoku/>
                    <w:wordWrap/>
                    <w:overflowPunct/>
                    <w:topLinePunct w:val="0"/>
                    <w:bidi w:val="0"/>
                    <w:adjustRightInd w:val="0"/>
                    <w:snapToGrid w:val="0"/>
                    <w:spacing w:line="240" w:lineRule="auto"/>
                    <w:ind w:leftChars="0"/>
                    <w:jc w:val="left"/>
                    <w:textAlignment w:val="auto"/>
                    <w:rPr>
                      <w:rFonts w:hint="eastAsia" w:cs="Times New Roman"/>
                      <w:b w:val="0"/>
                      <w:bCs w:val="0"/>
                      <w:color w:val="auto"/>
                      <w:sz w:val="21"/>
                      <w:szCs w:val="21"/>
                      <w:lang w:eastAsia="zh-CN"/>
                    </w:rPr>
                  </w:pPr>
                  <w:r>
                    <w:rPr>
                      <w:rFonts w:hint="eastAsia" w:cs="Times New Roman"/>
                      <w:b w:val="0"/>
                      <w:bCs w:val="0"/>
                      <w:color w:val="auto"/>
                      <w:sz w:val="21"/>
                      <w:szCs w:val="21"/>
                      <w:lang w:eastAsia="zh-CN"/>
                    </w:rPr>
                    <w:t>持续推进工业污水治理。引导工业企业污水近零排放，降低污染负荷。</w:t>
                  </w:r>
                </w:p>
              </w:tc>
              <w:tc>
                <w:tcPr>
                  <w:tcW w:w="1698" w:type="pct"/>
                  <w:vMerge w:val="continue"/>
                  <w:tcBorders>
                    <w:tl2br w:val="nil"/>
                    <w:tr2bl w:val="nil"/>
                  </w:tcBorders>
                  <w:vAlign w:val="center"/>
                </w:tcPr>
                <w:p w14:paraId="181838B1">
                  <w:pPr>
                    <w:pStyle w:val="22"/>
                    <w:keepNext w:val="0"/>
                    <w:keepLines w:val="0"/>
                    <w:pageBreakBefore w:val="0"/>
                    <w:numPr>
                      <w:ilvl w:val="0"/>
                      <w:numId w:val="0"/>
                    </w:numPr>
                    <w:kinsoku/>
                    <w:wordWrap/>
                    <w:overflowPunct/>
                    <w:topLinePunct w:val="0"/>
                    <w:bidi w:val="0"/>
                    <w:adjustRightInd w:val="0"/>
                    <w:snapToGrid w:val="0"/>
                    <w:spacing w:before="0" w:beforeAutospacing="0" w:after="0" w:afterAutospacing="0" w:line="240" w:lineRule="auto"/>
                    <w:textAlignment w:val="auto"/>
                    <w:rPr>
                      <w:rFonts w:hint="eastAsia" w:ascii="Times New Roman" w:hAnsi="Times New Roman" w:eastAsia="宋体" w:cs="Times New Roman"/>
                      <w:color w:val="auto"/>
                      <w:sz w:val="21"/>
                      <w:szCs w:val="21"/>
                      <w:lang w:eastAsia="zh-CN"/>
                    </w:rPr>
                  </w:pPr>
                </w:p>
              </w:tc>
              <w:tc>
                <w:tcPr>
                  <w:tcW w:w="304" w:type="pct"/>
                  <w:tcBorders>
                    <w:tl2br w:val="nil"/>
                    <w:tr2bl w:val="nil"/>
                  </w:tcBorders>
                  <w:vAlign w:val="center"/>
                </w:tcPr>
                <w:p w14:paraId="61ED530D">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cs="Times New Roman"/>
                      <w:color w:val="auto"/>
                      <w:kern w:val="0"/>
                      <w:sz w:val="21"/>
                      <w:szCs w:val="21"/>
                      <w:lang w:val="en-US" w:eastAsia="zh-CN"/>
                    </w:rPr>
                  </w:pPr>
                  <w:r>
                    <w:rPr>
                      <w:rFonts w:hint="eastAsia" w:cs="Times New Roman"/>
                      <w:color w:val="auto"/>
                      <w:kern w:val="0"/>
                      <w:sz w:val="21"/>
                      <w:szCs w:val="21"/>
                      <w:lang w:val="en-US" w:eastAsia="zh-CN"/>
                    </w:rPr>
                    <w:t>符合</w:t>
                  </w:r>
                </w:p>
              </w:tc>
            </w:tr>
          </w:tbl>
          <w:p w14:paraId="3BFF39D3">
            <w:pPr>
              <w:rPr>
                <w:color w:val="auto"/>
              </w:rPr>
            </w:pPr>
          </w:p>
        </w:tc>
      </w:tr>
    </w:tbl>
    <w:p w14:paraId="0BA23F11">
      <w:pPr>
        <w:spacing w:line="360" w:lineRule="auto"/>
        <w:ind w:left="0" w:leftChars="0" w:firstLine="0" w:firstLineChars="0"/>
        <w:outlineLvl w:val="0"/>
        <w:rPr>
          <w:rFonts w:ascii="Times New Roman" w:hAnsi="Times New Roman" w:eastAsia="宋体"/>
          <w:color w:val="auto"/>
          <w:sz w:val="30"/>
          <w:highlight w:val="none"/>
        </w:rPr>
        <w:sectPr>
          <w:pgSz w:w="16838" w:h="11906" w:orient="landscape"/>
          <w:pgMar w:top="1219" w:right="1304" w:bottom="1247" w:left="1304" w:header="851" w:footer="850" w:gutter="0"/>
          <w:pgBorders>
            <w:top w:val="none" w:sz="0" w:space="0"/>
            <w:left w:val="none" w:sz="0" w:space="0"/>
            <w:bottom w:val="none" w:sz="0" w:space="0"/>
            <w:right w:val="none" w:sz="0" w:space="0"/>
          </w:pgBorders>
          <w:pgNumType w:fmt="decimal"/>
          <w:cols w:space="720" w:num="1"/>
          <w:docGrid w:linePitch="312" w:charSpace="0"/>
        </w:sectPr>
      </w:pPr>
    </w:p>
    <w:p w14:paraId="6D24859D">
      <w:pPr>
        <w:pStyle w:val="5"/>
        <w:bidi w:val="0"/>
        <w:jc w:val="center"/>
        <w:rPr>
          <w:rFonts w:ascii="Times New Roman" w:hAnsi="Times New Roman" w:eastAsia="宋体"/>
          <w:color w:val="auto"/>
          <w:highlight w:val="none"/>
        </w:rPr>
      </w:pPr>
      <w:r>
        <w:rPr>
          <w:rFonts w:hint="eastAsia" w:ascii="Times New Roman" w:hAnsi="Times New Roman" w:eastAsia="宋体"/>
          <w:color w:val="auto"/>
          <w:highlight w:val="none"/>
        </w:rPr>
        <w:t>二、建设项目工程分析</w:t>
      </w:r>
    </w:p>
    <w:tbl>
      <w:tblPr>
        <w:tblStyle w:val="25"/>
        <w:tblW w:w="10002" w:type="dxa"/>
        <w:tblInd w:w="-429"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9196"/>
      </w:tblGrid>
      <w:tr w14:paraId="6C29F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806" w:type="dxa"/>
            <w:noWrap w:val="0"/>
            <w:vAlign w:val="center"/>
          </w:tcPr>
          <w:p w14:paraId="2578F2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highlight w:val="none"/>
              </w:rPr>
            </w:pPr>
            <w:r>
              <w:rPr>
                <w:rFonts w:hint="eastAsia" w:ascii="Times New Roman" w:hAnsi="Times New Roman" w:eastAsia="宋体"/>
                <w:color w:val="auto"/>
                <w:highlight w:val="none"/>
              </w:rPr>
              <w:t>建设内容</w:t>
            </w:r>
          </w:p>
        </w:tc>
        <w:tc>
          <w:tcPr>
            <w:tcW w:w="9196" w:type="dxa"/>
            <w:noWrap w:val="0"/>
            <w:vAlign w:val="top"/>
          </w:tcPr>
          <w:p w14:paraId="1D637EDD">
            <w:pPr>
              <w:bidi w:val="0"/>
              <w:rPr>
                <w:rFonts w:hint="eastAsia" w:ascii="Times New Roman" w:hAnsi="Times New Roman" w:eastAsia="宋体"/>
                <w:b/>
                <w:bCs/>
                <w:color w:val="auto"/>
                <w:highlight w:val="none"/>
              </w:rPr>
            </w:pPr>
            <w:r>
              <w:rPr>
                <w:rFonts w:hint="eastAsia" w:ascii="Times New Roman" w:hAnsi="Times New Roman" w:eastAsia="宋体"/>
                <w:b/>
                <w:bCs/>
                <w:color w:val="auto"/>
                <w:highlight w:val="none"/>
              </w:rPr>
              <w:t>2.1项目由来</w:t>
            </w:r>
          </w:p>
          <w:p w14:paraId="3D531EC0">
            <w:pPr>
              <w:keepNext w:val="0"/>
              <w:keepLines w:val="0"/>
              <w:pageBreakBefore w:val="0"/>
              <w:widowControl/>
              <w:kinsoku/>
              <w:wordWrap w:val="0"/>
              <w:overflowPunct/>
              <w:topLinePunct w:val="0"/>
              <w:autoSpaceDE/>
              <w:autoSpaceDN/>
              <w:bidi w:val="0"/>
              <w:adjustRightInd w:val="0"/>
              <w:snapToGrid w:val="0"/>
              <w:ind w:firstLine="480" w:firstLineChars="200"/>
              <w:textAlignment w:val="auto"/>
              <w:rPr>
                <w:rFonts w:hint="eastAsia" w:cs="Times New Roman"/>
                <w:color w:val="auto"/>
                <w:lang w:val="en-US" w:eastAsia="zh-CN"/>
              </w:rPr>
            </w:pPr>
            <w:bookmarkStart w:id="6" w:name="OLE_LINK40"/>
            <w:bookmarkStart w:id="7" w:name="OLE_LINK29"/>
            <w:bookmarkStart w:id="8" w:name="OLE_LINK27"/>
            <w:r>
              <w:rPr>
                <w:rFonts w:hint="eastAsia" w:cs="Times New Roman"/>
                <w:color w:val="auto"/>
                <w:lang w:eastAsia="zh-CN"/>
              </w:rPr>
              <w:t>佛坪县浓情食品饮料有限责任公司</w:t>
            </w:r>
            <w:r>
              <w:rPr>
                <w:rFonts w:hint="default" w:ascii="Times New Roman" w:hAnsi="Times New Roman" w:eastAsia="宋体" w:cs="Times New Roman"/>
                <w:color w:val="auto"/>
                <w:lang w:eastAsia="zh-CN"/>
              </w:rPr>
              <w:t>成立于20</w:t>
            </w:r>
            <w:r>
              <w:rPr>
                <w:rFonts w:hint="eastAsia" w:cs="Times New Roman"/>
                <w:color w:val="auto"/>
                <w:lang w:val="en-US" w:eastAsia="zh-CN"/>
              </w:rPr>
              <w:t>13</w:t>
            </w:r>
            <w:r>
              <w:rPr>
                <w:rFonts w:hint="default" w:ascii="Times New Roman" w:hAnsi="Times New Roman" w:eastAsia="宋体" w:cs="Times New Roman"/>
                <w:color w:val="auto"/>
                <w:lang w:eastAsia="zh-CN"/>
              </w:rPr>
              <w:t>年</w:t>
            </w:r>
            <w:r>
              <w:rPr>
                <w:rFonts w:hint="eastAsia" w:cs="Times New Roman"/>
                <w:color w:val="auto"/>
                <w:lang w:val="en-US" w:eastAsia="zh-CN"/>
              </w:rPr>
              <w:t>3</w:t>
            </w:r>
            <w:r>
              <w:rPr>
                <w:rFonts w:hint="default" w:ascii="Times New Roman" w:hAnsi="Times New Roman" w:eastAsia="宋体" w:cs="Times New Roman"/>
                <w:color w:val="auto"/>
                <w:lang w:val="en-US" w:eastAsia="zh-CN"/>
              </w:rPr>
              <w:t>月</w:t>
            </w:r>
            <w:r>
              <w:rPr>
                <w:rFonts w:hint="default" w:ascii="Times New Roman" w:hAnsi="Times New Roman" w:eastAsia="宋体" w:cs="Times New Roman"/>
                <w:color w:val="auto"/>
                <w:lang w:eastAsia="zh-CN"/>
              </w:rPr>
              <w:t>，</w:t>
            </w:r>
            <w:r>
              <w:rPr>
                <w:rFonts w:hint="eastAsia" w:ascii="Times New Roman" w:hAnsi="Times New Roman" w:cs="Times New Roman"/>
                <w:color w:val="auto"/>
                <w:lang w:val="en-US" w:eastAsia="zh-CN"/>
              </w:rPr>
              <w:t>主要</w:t>
            </w:r>
            <w:r>
              <w:rPr>
                <w:rFonts w:hint="eastAsia" w:cs="Times New Roman"/>
                <w:color w:val="auto"/>
                <w:lang w:val="en-US" w:eastAsia="zh-CN"/>
              </w:rPr>
              <w:t>经营范围包括酒制品生产；食品生产；饮料生产</w:t>
            </w:r>
            <w:r>
              <w:rPr>
                <w:rFonts w:hint="eastAsia" w:cs="Times New Roman"/>
                <w:color w:val="auto"/>
                <w:highlight w:val="none"/>
                <w:lang w:val="en-US" w:eastAsia="zh-CN"/>
              </w:rPr>
              <w:t>；酒类经营等</w:t>
            </w:r>
            <w:r>
              <w:rPr>
                <w:rFonts w:hint="eastAsia" w:ascii="Times New Roman" w:hAnsi="Times New Roman" w:cs="Times New Roman"/>
                <w:color w:val="auto"/>
                <w:highlight w:val="none"/>
                <w:lang w:val="en-US" w:eastAsia="zh-CN"/>
              </w:rPr>
              <w:t>。</w:t>
            </w:r>
            <w:r>
              <w:rPr>
                <w:rFonts w:hint="eastAsia" w:cs="Times New Roman"/>
                <w:color w:val="auto"/>
                <w:highlight w:val="none"/>
                <w:lang w:val="en-US" w:eastAsia="zh-CN"/>
              </w:rPr>
              <w:t>2022年9月9日，取得佛坪县“食药同源”山茱萸酒生产项目备案确认书（</w:t>
            </w:r>
            <w:r>
              <w:rPr>
                <w:rFonts w:hint="eastAsia" w:ascii="Times New Roman" w:hAnsi="Times New Roman" w:cs="Times New Roman"/>
                <w:color w:val="auto"/>
                <w:highlight w:val="none"/>
                <w:lang w:val="en-US" w:eastAsia="zh-CN"/>
              </w:rPr>
              <w:t>项目代码：2</w:t>
            </w:r>
            <w:r>
              <w:rPr>
                <w:rFonts w:hint="eastAsia" w:cs="Times New Roman"/>
                <w:color w:val="auto"/>
                <w:highlight w:val="none"/>
                <w:lang w:val="en-US" w:eastAsia="zh-CN"/>
              </w:rPr>
              <w:t>209</w:t>
            </w:r>
            <w:r>
              <w:rPr>
                <w:rFonts w:hint="eastAsia" w:ascii="Times New Roman" w:hAnsi="Times New Roman" w:cs="Times New Roman"/>
                <w:color w:val="auto"/>
                <w:highlight w:val="none"/>
                <w:lang w:val="en-US" w:eastAsia="zh-CN"/>
              </w:rPr>
              <w:t>-610</w:t>
            </w:r>
            <w:r>
              <w:rPr>
                <w:rFonts w:hint="eastAsia" w:cs="Times New Roman"/>
                <w:color w:val="auto"/>
                <w:highlight w:val="none"/>
                <w:lang w:val="en-US" w:eastAsia="zh-CN"/>
              </w:rPr>
              <w:t>73</w:t>
            </w:r>
            <w:r>
              <w:rPr>
                <w:rFonts w:hint="eastAsia" w:ascii="Times New Roman" w:hAnsi="Times New Roman" w:cs="Times New Roman"/>
                <w:color w:val="auto"/>
                <w:highlight w:val="none"/>
                <w:lang w:val="en-US" w:eastAsia="zh-CN"/>
              </w:rPr>
              <w:t>0-</w:t>
            </w:r>
            <w:r>
              <w:rPr>
                <w:rFonts w:hint="eastAsia" w:cs="Times New Roman"/>
                <w:color w:val="auto"/>
                <w:highlight w:val="none"/>
                <w:lang w:val="en-US" w:eastAsia="zh-CN"/>
              </w:rPr>
              <w:t>04</w:t>
            </w:r>
            <w:r>
              <w:rPr>
                <w:rFonts w:hint="eastAsia" w:ascii="Times New Roman" w:hAnsi="Times New Roman" w:cs="Times New Roman"/>
                <w:color w:val="auto"/>
                <w:highlight w:val="none"/>
                <w:lang w:val="en-US" w:eastAsia="zh-CN"/>
              </w:rPr>
              <w:t>-0</w:t>
            </w:r>
            <w:r>
              <w:rPr>
                <w:rFonts w:hint="eastAsia" w:cs="Times New Roman"/>
                <w:color w:val="auto"/>
                <w:highlight w:val="none"/>
                <w:lang w:val="en-US" w:eastAsia="zh-CN"/>
              </w:rPr>
              <w:t>1</w:t>
            </w:r>
            <w:r>
              <w:rPr>
                <w:rFonts w:hint="eastAsia" w:ascii="Times New Roman" w:hAnsi="Times New Roman" w:cs="Times New Roman"/>
                <w:color w:val="auto"/>
                <w:highlight w:val="none"/>
                <w:lang w:val="en-US" w:eastAsia="zh-CN"/>
              </w:rPr>
              <w:t>-</w:t>
            </w:r>
            <w:r>
              <w:rPr>
                <w:rFonts w:hint="eastAsia" w:cs="Times New Roman"/>
                <w:color w:val="auto"/>
                <w:highlight w:val="none"/>
                <w:lang w:val="en-US" w:eastAsia="zh-CN"/>
              </w:rPr>
              <w:t>980841</w:t>
            </w:r>
            <w:r>
              <w:rPr>
                <w:rFonts w:hint="eastAsia" w:ascii="Times New Roman" w:hAnsi="Times New Roman" w:cs="Times New Roman"/>
                <w:color w:val="auto"/>
                <w:highlight w:val="none"/>
                <w:lang w:val="en-US" w:eastAsia="zh-CN"/>
              </w:rPr>
              <w:t>）</w:t>
            </w:r>
            <w:r>
              <w:rPr>
                <w:rFonts w:hint="eastAsia" w:cs="Times New Roman"/>
                <w:color w:val="auto"/>
                <w:highlight w:val="none"/>
                <w:lang w:val="en-US" w:eastAsia="zh-CN"/>
              </w:rPr>
              <w:t>，</w:t>
            </w:r>
            <w:r>
              <w:rPr>
                <w:rFonts w:hint="eastAsia" w:ascii="Times New Roman" w:hAnsi="Times New Roman" w:eastAsia="宋体" w:cs="Times New Roman"/>
                <w:color w:val="auto"/>
                <w:sz w:val="24"/>
                <w:szCs w:val="24"/>
                <w:highlight w:val="none"/>
                <w:lang w:val="en-US" w:eastAsia="zh-CN"/>
              </w:rPr>
              <w:t>拟投资</w:t>
            </w:r>
            <w:r>
              <w:rPr>
                <w:rFonts w:hint="eastAsia" w:cs="Times New Roman"/>
                <w:color w:val="auto"/>
                <w:sz w:val="24"/>
                <w:szCs w:val="24"/>
                <w:highlight w:val="none"/>
                <w:lang w:val="en-US" w:eastAsia="zh-CN"/>
              </w:rPr>
              <w:t>220</w:t>
            </w:r>
            <w:r>
              <w:rPr>
                <w:rFonts w:hint="eastAsia" w:ascii="Times New Roman" w:hAnsi="Times New Roman" w:eastAsia="宋体" w:cs="Times New Roman"/>
                <w:color w:val="auto"/>
                <w:sz w:val="24"/>
                <w:szCs w:val="24"/>
                <w:highlight w:val="none"/>
                <w:lang w:val="en-US" w:eastAsia="zh-CN"/>
              </w:rPr>
              <w:t>0万元</w:t>
            </w:r>
            <w:r>
              <w:rPr>
                <w:rFonts w:hint="eastAsia" w:cs="Times New Roman"/>
                <w:color w:val="auto"/>
                <w:sz w:val="24"/>
                <w:szCs w:val="24"/>
                <w:highlight w:val="none"/>
                <w:lang w:val="en-US" w:eastAsia="zh-CN"/>
              </w:rPr>
              <w:t>新建1</w:t>
            </w:r>
            <w:r>
              <w:rPr>
                <w:rFonts w:hint="eastAsia" w:ascii="Times New Roman" w:hAnsi="Times New Roman" w:eastAsia="宋体" w:cs="Times New Roman"/>
                <w:color w:val="auto"/>
                <w:sz w:val="24"/>
                <w:szCs w:val="24"/>
                <w:highlight w:val="none"/>
                <w:lang w:val="en-US" w:eastAsia="zh-CN"/>
              </w:rPr>
              <w:t>条</w:t>
            </w:r>
            <w:r>
              <w:rPr>
                <w:rFonts w:hint="eastAsia" w:cs="Times New Roman"/>
                <w:color w:val="auto"/>
                <w:sz w:val="24"/>
                <w:szCs w:val="24"/>
                <w:highlight w:val="none"/>
                <w:lang w:val="en-US" w:eastAsia="zh-CN"/>
              </w:rPr>
              <w:t>年产</w:t>
            </w:r>
            <w:r>
              <w:rPr>
                <w:rFonts w:hint="eastAsia" w:cs="宋体"/>
                <w:color w:val="auto"/>
                <w:szCs w:val="21"/>
                <w:highlight w:val="none"/>
                <w:lang w:eastAsia="zh-CN"/>
              </w:rPr>
              <w:t>山茱萸酒</w:t>
            </w:r>
            <w:r>
              <w:rPr>
                <w:rFonts w:hint="eastAsia" w:cs="Times New Roman"/>
                <w:color w:val="auto"/>
                <w:sz w:val="24"/>
                <w:szCs w:val="24"/>
                <w:highlight w:val="none"/>
                <w:lang w:val="en-US" w:eastAsia="zh-CN"/>
              </w:rPr>
              <w:t>200t</w:t>
            </w:r>
            <w:r>
              <w:rPr>
                <w:rFonts w:hint="eastAsia" w:ascii="Times New Roman" w:hAnsi="Times New Roman" w:eastAsia="宋体" w:cs="Times New Roman"/>
                <w:color w:val="auto"/>
                <w:sz w:val="24"/>
                <w:szCs w:val="24"/>
                <w:highlight w:val="none"/>
                <w:lang w:val="en-US" w:eastAsia="zh-CN"/>
              </w:rPr>
              <w:t>生产线</w:t>
            </w:r>
            <w:r>
              <w:rPr>
                <w:rFonts w:hint="eastAsia" w:cs="Times New Roman"/>
                <w:color w:val="auto"/>
                <w:sz w:val="24"/>
                <w:szCs w:val="24"/>
                <w:highlight w:val="none"/>
                <w:lang w:val="en-US" w:eastAsia="zh-CN"/>
              </w:rPr>
              <w:t>，</w:t>
            </w:r>
            <w:r>
              <w:rPr>
                <w:rFonts w:hint="eastAsia" w:cs="Times New Roman"/>
                <w:color w:val="FF0000"/>
                <w:highlight w:val="none"/>
                <w:lang w:val="en-US" w:eastAsia="zh-CN"/>
              </w:rPr>
              <w:t>租赁佛坪县秦泉饮料食品有限责任公司（隶属于佛坪县经济贸易局）</w:t>
            </w:r>
            <w:r>
              <w:rPr>
                <w:rFonts w:hint="eastAsia" w:cs="Times New Roman"/>
                <w:color w:val="auto"/>
                <w:highlight w:val="none"/>
                <w:lang w:val="en-US" w:eastAsia="zh-CN"/>
              </w:rPr>
              <w:t>现有厂区（生产车间900m</w:t>
            </w:r>
            <w:r>
              <w:rPr>
                <w:rFonts w:hint="eastAsia" w:cs="Times New Roman"/>
                <w:color w:val="auto"/>
                <w:highlight w:val="none"/>
                <w:vertAlign w:val="superscript"/>
                <w:lang w:val="en-US" w:eastAsia="zh-CN"/>
              </w:rPr>
              <w:t>2</w:t>
            </w:r>
            <w:r>
              <w:rPr>
                <w:rFonts w:hint="eastAsia" w:cs="Times New Roman"/>
                <w:color w:val="auto"/>
                <w:highlight w:val="none"/>
                <w:lang w:val="en-US" w:eastAsia="zh-CN"/>
              </w:rPr>
              <w:t>）和办公用房（面积2400m</w:t>
            </w:r>
            <w:r>
              <w:rPr>
                <w:rFonts w:hint="eastAsia" w:cs="Times New Roman"/>
                <w:color w:val="auto"/>
                <w:highlight w:val="none"/>
                <w:vertAlign w:val="superscript"/>
                <w:lang w:val="en-US" w:eastAsia="zh-CN"/>
              </w:rPr>
              <w:t>2</w:t>
            </w:r>
            <w:r>
              <w:rPr>
                <w:rFonts w:hint="eastAsia" w:cs="Times New Roman"/>
                <w:color w:val="auto"/>
                <w:highlight w:val="none"/>
                <w:lang w:val="en-US" w:eastAsia="zh-CN"/>
              </w:rPr>
              <w:t>），建设性质为新建</w:t>
            </w:r>
            <w:r>
              <w:rPr>
                <w:rFonts w:hint="eastAsia"/>
                <w:color w:val="auto"/>
                <w:kern w:val="0"/>
                <w:sz w:val="24"/>
                <w:highlight w:val="none"/>
              </w:rPr>
              <w:t>。</w:t>
            </w:r>
            <w:r>
              <w:rPr>
                <w:rFonts w:hint="eastAsia"/>
                <w:color w:val="FF0000"/>
                <w:kern w:val="0"/>
                <w:sz w:val="24"/>
                <w:highlight w:val="none"/>
                <w:lang w:eastAsia="zh-CN"/>
              </w:rPr>
              <w:t>项目于</w:t>
            </w:r>
            <w:r>
              <w:rPr>
                <w:rFonts w:hint="eastAsia" w:cs="Times New Roman"/>
                <w:color w:val="FF0000"/>
                <w:sz w:val="24"/>
                <w:szCs w:val="24"/>
                <w:highlight w:val="none"/>
                <w:lang w:val="en-US" w:eastAsia="zh-CN"/>
              </w:rPr>
              <w:t>2022年9月开工建设，</w:t>
            </w:r>
            <w:r>
              <w:rPr>
                <w:rFonts w:ascii="Times New Roman" w:hAnsi="Times New Roman" w:eastAsia="宋体" w:cs="宋体"/>
                <w:color w:val="FF0000"/>
                <w:kern w:val="0"/>
                <w:sz w:val="24"/>
                <w:szCs w:val="24"/>
                <w:lang w:val="en-US" w:eastAsia="zh-CN" w:bidi="ar"/>
              </w:rPr>
              <w:t>在推进过程中，受多重客观因素影响及企业经营规划调整，项目</w:t>
            </w:r>
            <w:r>
              <w:rPr>
                <w:rFonts w:hint="eastAsia" w:ascii="Times New Roman" w:hAnsi="Times New Roman" w:eastAsia="宋体" w:cs="宋体"/>
                <w:color w:val="FF0000"/>
                <w:kern w:val="0"/>
                <w:sz w:val="24"/>
                <w:szCs w:val="24"/>
                <w:lang w:val="en-US" w:eastAsia="zh-CN" w:bidi="ar"/>
              </w:rPr>
              <w:t>实际</w:t>
            </w:r>
            <w:r>
              <w:rPr>
                <w:rFonts w:ascii="Times New Roman" w:hAnsi="Times New Roman" w:eastAsia="宋体" w:cs="宋体"/>
                <w:color w:val="FF0000"/>
                <w:kern w:val="0"/>
                <w:sz w:val="24"/>
                <w:szCs w:val="24"/>
                <w:lang w:val="en-US" w:eastAsia="zh-CN" w:bidi="ar"/>
              </w:rPr>
              <w:t>投资额</w:t>
            </w:r>
            <w:r>
              <w:rPr>
                <w:rFonts w:hint="eastAsia" w:cs="宋体"/>
                <w:color w:val="FF0000"/>
                <w:kern w:val="0"/>
                <w:sz w:val="24"/>
                <w:szCs w:val="24"/>
                <w:lang w:val="en-US" w:eastAsia="zh-CN" w:bidi="ar"/>
              </w:rPr>
              <w:t>为55.9万元，</w:t>
            </w:r>
            <w:r>
              <w:rPr>
                <w:rFonts w:hint="eastAsia" w:cs="Times New Roman"/>
                <w:color w:val="FF0000"/>
                <w:sz w:val="24"/>
                <w:szCs w:val="24"/>
                <w:highlight w:val="none"/>
                <w:lang w:val="en-US" w:eastAsia="zh-CN"/>
              </w:rPr>
              <w:t>2024年8月建成山茱萸酒发酵酒生产线</w:t>
            </w:r>
            <w:r>
              <w:rPr>
                <w:rFonts w:hint="eastAsia"/>
                <w:color w:val="FF0000"/>
                <w:sz w:val="24"/>
                <w:highlight w:val="none"/>
                <w:lang w:eastAsia="zh-CN"/>
              </w:rPr>
              <w:t>，</w:t>
            </w:r>
            <w:r>
              <w:rPr>
                <w:rFonts w:hint="eastAsia" w:cs="宋体"/>
                <w:color w:val="FF0000"/>
                <w:kern w:val="0"/>
                <w:sz w:val="24"/>
                <w:szCs w:val="24"/>
                <w:lang w:val="en-US" w:eastAsia="zh-CN" w:bidi="ar"/>
              </w:rPr>
              <w:t>2026年2月28日</w:t>
            </w:r>
            <w:r>
              <w:rPr>
                <w:rFonts w:ascii="Times New Roman" w:hAnsi="Times New Roman" w:eastAsia="宋体" w:cs="宋体"/>
                <w:color w:val="FF0000"/>
                <w:kern w:val="0"/>
                <w:sz w:val="24"/>
                <w:szCs w:val="24"/>
                <w:lang w:val="en-US" w:eastAsia="zh-CN" w:bidi="ar"/>
              </w:rPr>
              <w:t>接受</w:t>
            </w:r>
            <w:r>
              <w:rPr>
                <w:rFonts w:hint="eastAsia" w:cs="宋体"/>
                <w:color w:val="FF0000"/>
                <w:kern w:val="0"/>
                <w:sz w:val="24"/>
                <w:szCs w:val="24"/>
                <w:lang w:val="en-US" w:eastAsia="zh-CN" w:bidi="ar"/>
              </w:rPr>
              <w:t>汉中市生态环境局佛坪分局</w:t>
            </w:r>
            <w:r>
              <w:rPr>
                <w:rFonts w:ascii="Times New Roman" w:hAnsi="Times New Roman" w:eastAsia="宋体" w:cs="宋体"/>
                <w:color w:val="FF0000"/>
                <w:kern w:val="0"/>
                <w:sz w:val="24"/>
                <w:szCs w:val="24"/>
                <w:lang w:val="en-US" w:eastAsia="zh-CN" w:bidi="ar"/>
              </w:rPr>
              <w:t>检查</w:t>
            </w:r>
            <w:r>
              <w:rPr>
                <w:rFonts w:hint="eastAsia" w:cs="宋体"/>
                <w:color w:val="FF0000"/>
                <w:kern w:val="0"/>
                <w:sz w:val="24"/>
                <w:szCs w:val="24"/>
                <w:lang w:val="en-US" w:eastAsia="zh-CN" w:bidi="ar"/>
              </w:rPr>
              <w:t>，</w:t>
            </w:r>
            <w:r>
              <w:rPr>
                <w:rFonts w:hint="eastAsia" w:cs="宋体"/>
                <w:color w:val="auto"/>
                <w:kern w:val="0"/>
                <w:sz w:val="24"/>
                <w:szCs w:val="24"/>
                <w:lang w:val="en-US" w:eastAsia="zh-CN" w:bidi="ar"/>
              </w:rPr>
              <w:t>因“改扩建1条山茱萸酒生产线，未依法报批环境影响评价手续”</w:t>
            </w:r>
            <w:r>
              <w:rPr>
                <w:rFonts w:ascii="Times New Roman" w:hAnsi="Times New Roman" w:eastAsia="宋体" w:cs="宋体"/>
                <w:color w:val="auto"/>
                <w:kern w:val="0"/>
                <w:sz w:val="24"/>
                <w:szCs w:val="24"/>
                <w:lang w:val="en-US" w:eastAsia="zh-CN" w:bidi="ar"/>
              </w:rPr>
              <w:t>受到相关处罚</w:t>
            </w:r>
            <w:r>
              <w:rPr>
                <w:rFonts w:hint="eastAsia" w:cs="宋体"/>
                <w:color w:val="auto"/>
                <w:kern w:val="0"/>
                <w:sz w:val="24"/>
                <w:szCs w:val="24"/>
                <w:lang w:val="en-US" w:eastAsia="zh-CN" w:bidi="ar"/>
              </w:rPr>
              <w:t>，详见附件5。</w:t>
            </w:r>
            <w:r>
              <w:rPr>
                <w:rFonts w:ascii="Times New Roman" w:hAnsi="Times New Roman" w:eastAsia="宋体" w:cs="宋体"/>
                <w:color w:val="auto"/>
                <w:kern w:val="0"/>
                <w:sz w:val="24"/>
                <w:szCs w:val="24"/>
                <w:lang w:val="en-US" w:eastAsia="zh-CN" w:bidi="ar"/>
              </w:rPr>
              <w:t>同时因新增产品申请了新的项目备案</w:t>
            </w:r>
            <w:r>
              <w:rPr>
                <w:rFonts w:hint="eastAsia" w:cs="宋体"/>
                <w:color w:val="auto"/>
                <w:kern w:val="0"/>
                <w:sz w:val="24"/>
                <w:szCs w:val="24"/>
                <w:lang w:val="en-US" w:eastAsia="zh-CN" w:bidi="ar"/>
              </w:rPr>
              <w:t>，于</w:t>
            </w:r>
            <w:r>
              <w:rPr>
                <w:rFonts w:hint="eastAsia" w:ascii="Times New Roman" w:hAnsi="Times New Roman" w:cs="Times New Roman"/>
                <w:color w:val="auto"/>
                <w:highlight w:val="none"/>
                <w:lang w:val="en-US" w:eastAsia="zh-CN"/>
              </w:rPr>
              <w:t>202</w:t>
            </w:r>
            <w:r>
              <w:rPr>
                <w:rFonts w:hint="eastAsia" w:cs="Times New Roman"/>
                <w:color w:val="auto"/>
                <w:highlight w:val="none"/>
                <w:lang w:val="en-US" w:eastAsia="zh-CN"/>
              </w:rPr>
              <w:t>6</w:t>
            </w:r>
            <w:r>
              <w:rPr>
                <w:rFonts w:hint="eastAsia" w:ascii="Times New Roman" w:hAnsi="Times New Roman" w:cs="Times New Roman"/>
                <w:color w:val="auto"/>
                <w:highlight w:val="none"/>
                <w:lang w:val="en-US" w:eastAsia="zh-CN"/>
              </w:rPr>
              <w:t>年</w:t>
            </w:r>
            <w:r>
              <w:rPr>
                <w:rFonts w:hint="eastAsia" w:cs="Times New Roman"/>
                <w:color w:val="auto"/>
                <w:highlight w:val="none"/>
                <w:lang w:val="en-US" w:eastAsia="zh-CN"/>
              </w:rPr>
              <w:t>4</w:t>
            </w:r>
            <w:r>
              <w:rPr>
                <w:rFonts w:hint="eastAsia" w:ascii="Times New Roman" w:hAnsi="Times New Roman" w:cs="Times New Roman"/>
                <w:color w:val="auto"/>
                <w:highlight w:val="none"/>
                <w:lang w:val="en-US" w:eastAsia="zh-CN"/>
              </w:rPr>
              <w:t>月</w:t>
            </w:r>
            <w:r>
              <w:rPr>
                <w:rFonts w:hint="eastAsia" w:cs="Times New Roman"/>
                <w:color w:val="auto"/>
                <w:highlight w:val="none"/>
                <w:lang w:val="en-US" w:eastAsia="zh-CN"/>
              </w:rPr>
              <w:t>23日</w:t>
            </w:r>
            <w:r>
              <w:rPr>
                <w:rFonts w:hint="eastAsia" w:ascii="Times New Roman" w:hAnsi="Times New Roman" w:cs="Times New Roman"/>
                <w:color w:val="auto"/>
                <w:highlight w:val="none"/>
                <w:lang w:val="en-US" w:eastAsia="zh-CN"/>
              </w:rPr>
              <w:t>，取得了“</w:t>
            </w:r>
            <w:r>
              <w:rPr>
                <w:rFonts w:hint="eastAsia" w:cs="Times New Roman"/>
                <w:color w:val="auto"/>
                <w:highlight w:val="none"/>
                <w:lang w:val="en-US" w:eastAsia="zh-CN"/>
              </w:rPr>
              <w:t>佛坪县山茱萸发酵(含脱醇)酒改建项目</w:t>
            </w:r>
            <w:r>
              <w:rPr>
                <w:rFonts w:hint="eastAsia" w:ascii="Times New Roman" w:hAnsi="Times New Roman" w:cs="Times New Roman"/>
                <w:color w:val="auto"/>
                <w:highlight w:val="none"/>
                <w:lang w:val="en-US" w:eastAsia="zh-CN"/>
              </w:rPr>
              <w:t>备案确认书”（项目代码：2</w:t>
            </w:r>
            <w:r>
              <w:rPr>
                <w:rFonts w:hint="eastAsia" w:cs="Times New Roman"/>
                <w:color w:val="auto"/>
                <w:highlight w:val="none"/>
                <w:lang w:val="en-US" w:eastAsia="zh-CN"/>
              </w:rPr>
              <w:t>602</w:t>
            </w:r>
            <w:r>
              <w:rPr>
                <w:rFonts w:hint="eastAsia" w:ascii="Times New Roman" w:hAnsi="Times New Roman" w:cs="Times New Roman"/>
                <w:color w:val="auto"/>
                <w:highlight w:val="none"/>
                <w:lang w:val="en-US" w:eastAsia="zh-CN"/>
              </w:rPr>
              <w:t>-610</w:t>
            </w:r>
            <w:r>
              <w:rPr>
                <w:rFonts w:hint="eastAsia" w:cs="Times New Roman"/>
                <w:color w:val="auto"/>
                <w:highlight w:val="none"/>
                <w:lang w:val="en-US" w:eastAsia="zh-CN"/>
              </w:rPr>
              <w:t>73</w:t>
            </w:r>
            <w:r>
              <w:rPr>
                <w:rFonts w:hint="eastAsia" w:ascii="Times New Roman" w:hAnsi="Times New Roman" w:cs="Times New Roman"/>
                <w:color w:val="auto"/>
                <w:highlight w:val="none"/>
                <w:lang w:val="en-US" w:eastAsia="zh-CN"/>
              </w:rPr>
              <w:t>0-</w:t>
            </w:r>
            <w:r>
              <w:rPr>
                <w:rFonts w:hint="eastAsia" w:cs="Times New Roman"/>
                <w:color w:val="auto"/>
                <w:highlight w:val="none"/>
                <w:lang w:val="en-US" w:eastAsia="zh-CN"/>
              </w:rPr>
              <w:t>04</w:t>
            </w:r>
            <w:r>
              <w:rPr>
                <w:rFonts w:hint="eastAsia" w:ascii="Times New Roman" w:hAnsi="Times New Roman" w:cs="Times New Roman"/>
                <w:color w:val="auto"/>
                <w:highlight w:val="none"/>
                <w:lang w:val="en-US" w:eastAsia="zh-CN"/>
              </w:rPr>
              <w:t>-0</w:t>
            </w:r>
            <w:r>
              <w:rPr>
                <w:rFonts w:hint="eastAsia" w:cs="Times New Roman"/>
                <w:color w:val="auto"/>
                <w:highlight w:val="none"/>
                <w:lang w:val="en-US" w:eastAsia="zh-CN"/>
              </w:rPr>
              <w:t>2</w:t>
            </w:r>
            <w:r>
              <w:rPr>
                <w:rFonts w:hint="eastAsia" w:ascii="Times New Roman" w:hAnsi="Times New Roman" w:cs="Times New Roman"/>
                <w:color w:val="auto"/>
                <w:highlight w:val="none"/>
                <w:lang w:val="en-US" w:eastAsia="zh-CN"/>
              </w:rPr>
              <w:t>-</w:t>
            </w:r>
            <w:r>
              <w:rPr>
                <w:rFonts w:hint="eastAsia" w:cs="Times New Roman"/>
                <w:color w:val="auto"/>
                <w:highlight w:val="none"/>
                <w:lang w:val="en-US" w:eastAsia="zh-CN"/>
              </w:rPr>
              <w:t>126128</w:t>
            </w:r>
            <w:r>
              <w:rPr>
                <w:rFonts w:hint="eastAsia" w:ascii="Times New Roman" w:hAnsi="Times New Roman" w:cs="Times New Roman"/>
                <w:color w:val="auto"/>
                <w:highlight w:val="none"/>
                <w:lang w:val="en-US" w:eastAsia="zh-CN"/>
              </w:rPr>
              <w:t>），</w:t>
            </w:r>
            <w:bookmarkStart w:id="9" w:name="OLE_LINK14"/>
            <w:r>
              <w:rPr>
                <w:rFonts w:hint="eastAsia" w:ascii="Times New Roman" w:hAnsi="Times New Roman" w:eastAsia="宋体" w:cs="Times New Roman"/>
                <w:color w:val="auto"/>
                <w:sz w:val="24"/>
                <w:szCs w:val="24"/>
                <w:highlight w:val="none"/>
                <w:lang w:val="en-US" w:eastAsia="zh-CN"/>
              </w:rPr>
              <w:t>建设</w:t>
            </w:r>
            <w:r>
              <w:rPr>
                <w:rFonts w:hint="eastAsia"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val="en-US" w:eastAsia="zh-CN"/>
              </w:rPr>
              <w:t>条</w:t>
            </w:r>
            <w:r>
              <w:rPr>
                <w:rFonts w:hint="eastAsia" w:cs="Times New Roman"/>
                <w:color w:val="auto"/>
                <w:sz w:val="24"/>
                <w:szCs w:val="24"/>
                <w:highlight w:val="none"/>
                <w:lang w:val="en-US" w:eastAsia="zh-CN"/>
              </w:rPr>
              <w:t>年产</w:t>
            </w:r>
            <w:r>
              <w:rPr>
                <w:rFonts w:hint="eastAsia" w:cs="宋体"/>
                <w:color w:val="auto"/>
                <w:szCs w:val="21"/>
                <w:highlight w:val="none"/>
                <w:lang w:eastAsia="zh-CN"/>
              </w:rPr>
              <w:t>山茱萸发酵(含脱醇)酒</w:t>
            </w:r>
            <w:r>
              <w:rPr>
                <w:rFonts w:hint="eastAsia" w:cs="Times New Roman"/>
                <w:color w:val="auto"/>
                <w:sz w:val="24"/>
                <w:szCs w:val="24"/>
                <w:highlight w:val="none"/>
                <w:lang w:val="en-US" w:eastAsia="zh-CN"/>
              </w:rPr>
              <w:t>200t</w:t>
            </w:r>
            <w:r>
              <w:rPr>
                <w:rFonts w:hint="eastAsia" w:ascii="Times New Roman" w:hAnsi="Times New Roman" w:eastAsia="宋体" w:cs="Times New Roman"/>
                <w:color w:val="auto"/>
                <w:sz w:val="24"/>
                <w:szCs w:val="24"/>
                <w:highlight w:val="none"/>
                <w:lang w:val="en-US" w:eastAsia="zh-CN"/>
              </w:rPr>
              <w:t>生产线</w:t>
            </w:r>
            <w:r>
              <w:rPr>
                <w:rFonts w:hint="eastAsia" w:cs="Times New Roman"/>
                <w:color w:val="auto"/>
                <w:sz w:val="24"/>
                <w:szCs w:val="24"/>
                <w:highlight w:val="none"/>
                <w:lang w:val="en-US" w:eastAsia="zh-CN"/>
              </w:rPr>
              <w:t>，建设性质为改建，相关备案及情况说明见附件2</w:t>
            </w:r>
            <w:r>
              <w:rPr>
                <w:rFonts w:hint="eastAsia"/>
                <w:color w:val="auto"/>
                <w:kern w:val="0"/>
                <w:sz w:val="24"/>
                <w:highlight w:val="none"/>
              </w:rPr>
              <w:t>。</w:t>
            </w:r>
            <w:r>
              <w:rPr>
                <w:rFonts w:hint="eastAsia"/>
                <w:color w:val="FF0000"/>
                <w:kern w:val="0"/>
                <w:sz w:val="24"/>
                <w:highlight w:val="none"/>
                <w:lang w:val="en-US" w:eastAsia="zh-CN"/>
              </w:rPr>
              <w:t>2026年4月29日，企业对公司名称进行变更，原“</w:t>
            </w:r>
            <w:r>
              <w:rPr>
                <w:rFonts w:hint="eastAsia" w:cs="Times New Roman"/>
                <w:color w:val="FF0000"/>
                <w:lang w:eastAsia="zh-CN"/>
              </w:rPr>
              <w:t>佛坪县浓情食品饮料有限责任公司“更名为“陕西浓情秦泉酒业有限责任公司”详见附件</w:t>
            </w:r>
            <w:r>
              <w:rPr>
                <w:rFonts w:hint="eastAsia" w:cs="Times New Roman"/>
                <w:color w:val="FF0000"/>
                <w:lang w:val="en-US" w:eastAsia="zh-CN"/>
              </w:rPr>
              <w:t>7</w:t>
            </w:r>
            <w:r>
              <w:rPr>
                <w:rFonts w:hint="eastAsia" w:cs="Times New Roman"/>
                <w:color w:val="FF0000"/>
                <w:lang w:eastAsia="zh-CN"/>
              </w:rPr>
              <w:t>，由于本项目备案时间早于公司名称变更时间，故备案沿用原文件。</w:t>
            </w:r>
            <w:r>
              <w:rPr>
                <w:rFonts w:hint="eastAsia" w:cs="Times New Roman"/>
                <w:color w:val="auto"/>
                <w:lang w:val="en-US" w:eastAsia="zh-CN"/>
              </w:rPr>
              <w:t>2026年5月18日，已针对</w:t>
            </w:r>
            <w:r>
              <w:rPr>
                <w:rFonts w:hint="eastAsia" w:cs="宋体"/>
                <w:color w:val="auto"/>
                <w:kern w:val="0"/>
                <w:sz w:val="24"/>
                <w:szCs w:val="24"/>
                <w:lang w:val="en-US" w:eastAsia="zh-CN" w:bidi="ar"/>
              </w:rPr>
              <w:t>汉中市生态环境局佛坪分局</w:t>
            </w:r>
            <w:r>
              <w:rPr>
                <w:rFonts w:hint="eastAsia" w:cs="Times New Roman"/>
                <w:color w:val="auto"/>
                <w:lang w:val="en-US" w:eastAsia="zh-CN"/>
              </w:rPr>
              <w:t>处罚事项，缴纳罚款，取得缴款书，详见附件6。</w:t>
            </w:r>
          </w:p>
          <w:p w14:paraId="35320AD9">
            <w:pPr>
              <w:keepNext w:val="0"/>
              <w:keepLines w:val="0"/>
              <w:pageBreakBefore w:val="0"/>
              <w:widowControl/>
              <w:kinsoku/>
              <w:wordWrap w:val="0"/>
              <w:overflowPunct/>
              <w:topLinePunct w:val="0"/>
              <w:autoSpaceDE/>
              <w:autoSpaceDN/>
              <w:bidi w:val="0"/>
              <w:adjustRightInd w:val="0"/>
              <w:snapToGrid w:val="0"/>
              <w:ind w:firstLine="480" w:firstLineChars="200"/>
              <w:textAlignment w:val="auto"/>
              <w:rPr>
                <w:rFonts w:hint="default"/>
                <w:color w:val="auto"/>
                <w:lang w:val="en-US" w:eastAsia="zh-CN"/>
              </w:rPr>
            </w:pPr>
            <w:r>
              <w:rPr>
                <w:rFonts w:ascii="宋体" w:hAnsi="宋体" w:eastAsia="宋体" w:cs="宋体"/>
                <w:color w:val="FF0000"/>
                <w:sz w:val="24"/>
                <w:szCs w:val="24"/>
              </w:rPr>
              <w:t>本项目前期企业先后</w:t>
            </w:r>
            <w:r>
              <w:rPr>
                <w:rFonts w:hint="eastAsia" w:ascii="宋体" w:hAnsi="宋体" w:eastAsia="宋体" w:cs="宋体"/>
                <w:color w:val="FF0000"/>
                <w:sz w:val="24"/>
                <w:szCs w:val="24"/>
                <w:lang w:eastAsia="zh-CN"/>
              </w:rPr>
              <w:t>进行</w:t>
            </w:r>
            <w:r>
              <w:rPr>
                <w:rFonts w:ascii="宋体" w:hAnsi="宋体" w:eastAsia="宋体" w:cs="宋体"/>
                <w:color w:val="FF0000"/>
                <w:sz w:val="24"/>
                <w:szCs w:val="24"/>
              </w:rPr>
              <w:t>两次项目备案，首次备案建设性质填报为新建，后续二次备案填报建设性质为改建。</w:t>
            </w:r>
            <w:r>
              <w:rPr>
                <w:rFonts w:hint="eastAsia" w:ascii="宋体" w:hAnsi="宋体" w:cs="宋体"/>
                <w:color w:val="FF0000"/>
                <w:sz w:val="24"/>
                <w:szCs w:val="24"/>
                <w:lang w:eastAsia="zh-CN"/>
              </w:rPr>
              <w:t>本次编制环境影响报告表以二次备案为准，但</w:t>
            </w:r>
            <w:r>
              <w:rPr>
                <w:rFonts w:hint="eastAsia" w:ascii="宋体" w:hAnsi="宋体" w:eastAsia="宋体" w:cs="宋体"/>
                <w:color w:val="FF0000"/>
                <w:sz w:val="24"/>
                <w:szCs w:val="24"/>
                <w:lang w:eastAsia="zh-CN"/>
              </w:rPr>
              <w:t>根据《建设项目环境保护管理条例》以及现场踏勘，</w:t>
            </w:r>
            <w:r>
              <w:rPr>
                <w:rFonts w:ascii="宋体" w:hAnsi="宋体" w:eastAsia="宋体" w:cs="宋体"/>
                <w:color w:val="FF0000"/>
                <w:sz w:val="24"/>
                <w:szCs w:val="24"/>
              </w:rPr>
              <w:t>本项目无已建成投产的原有生产设施，未办理过前期环评手续，不具备改建项目评价基础，无法开展现有污染源、以新带老削减量核算。</w:t>
            </w:r>
            <w:r>
              <w:rPr>
                <w:rFonts w:hint="eastAsia" w:ascii="宋体" w:hAnsi="宋体" w:cs="宋体"/>
                <w:color w:val="FF0000"/>
                <w:sz w:val="24"/>
                <w:szCs w:val="24"/>
                <w:lang w:eastAsia="zh-CN"/>
              </w:rPr>
              <w:t>因此，</w:t>
            </w:r>
            <w:r>
              <w:rPr>
                <w:rFonts w:ascii="宋体" w:hAnsi="宋体" w:eastAsia="宋体" w:cs="宋体"/>
                <w:color w:val="FF0000"/>
                <w:sz w:val="24"/>
                <w:szCs w:val="24"/>
              </w:rPr>
              <w:t>结合项目实际建设情况，本次环评建设性质界定为新建。</w:t>
            </w:r>
          </w:p>
          <w:bookmarkEnd w:id="6"/>
          <w:bookmarkEnd w:id="7"/>
          <w:bookmarkEnd w:id="8"/>
          <w:bookmarkEnd w:id="9"/>
          <w:p w14:paraId="6245B4E8">
            <w:pPr>
              <w:bidi w:val="0"/>
              <w:rPr>
                <w:rFonts w:hint="eastAsia" w:ascii="Times New Roman" w:hAnsi="Times New Roman" w:eastAsia="宋体"/>
                <w:color w:val="auto"/>
                <w:highlight w:val="none"/>
              </w:rPr>
            </w:pPr>
            <w:r>
              <w:rPr>
                <w:rFonts w:hint="default" w:ascii="Times New Roman" w:hAnsi="Times New Roman" w:eastAsia="宋体" w:cs="Times New Roman"/>
                <w:color w:val="auto"/>
                <w:sz w:val="24"/>
                <w:szCs w:val="24"/>
                <w:highlight w:val="none"/>
                <w:lang w:val="en-US" w:eastAsia="zh-CN"/>
              </w:rPr>
              <w:t>根据《中华人民共和国环境保护法》、国务院第682号令《国务院关</w:t>
            </w:r>
            <w:r>
              <w:rPr>
                <w:rFonts w:hint="default" w:ascii="Times New Roman" w:hAnsi="Times New Roman" w:eastAsia="宋体" w:cs="Times New Roman"/>
                <w:color w:val="auto"/>
                <w:sz w:val="24"/>
                <w:szCs w:val="24"/>
                <w:lang w:val="en-US" w:eastAsia="zh-CN"/>
              </w:rPr>
              <w:t>于修改</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建设项目环境保护管理条例</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的决定》、《中华人民共和国环境影响评价法》中相关要求，</w:t>
            </w:r>
            <w:r>
              <w:rPr>
                <w:rFonts w:hint="eastAsia" w:cs="Times New Roman"/>
                <w:color w:val="auto"/>
                <w:sz w:val="24"/>
                <w:szCs w:val="24"/>
                <w:lang w:val="en-US" w:eastAsia="zh-CN"/>
              </w:rPr>
              <w:t>本</w:t>
            </w:r>
            <w:r>
              <w:rPr>
                <w:rFonts w:hint="default" w:ascii="Times New Roman" w:hAnsi="Times New Roman" w:eastAsia="宋体" w:cs="Times New Roman"/>
                <w:color w:val="auto"/>
                <w:sz w:val="24"/>
                <w:szCs w:val="24"/>
                <w:lang w:val="en-US" w:eastAsia="zh-CN"/>
              </w:rPr>
              <w:t>项目应进行环境影响评价</w:t>
            </w:r>
            <w:r>
              <w:rPr>
                <w:rFonts w:hint="eastAsia" w:cs="Times New Roman"/>
                <w:color w:val="auto"/>
                <w:sz w:val="24"/>
                <w:szCs w:val="24"/>
                <w:lang w:val="en-US" w:eastAsia="zh-CN"/>
              </w:rPr>
              <w:t>。</w:t>
            </w:r>
            <w:r>
              <w:rPr>
                <w:rFonts w:hint="eastAsia"/>
                <w:color w:val="auto"/>
                <w:sz w:val="24"/>
                <w:lang w:eastAsia="zh-CN"/>
              </w:rPr>
              <w:t>依</w:t>
            </w:r>
            <w:r>
              <w:rPr>
                <w:rFonts w:hint="eastAsia"/>
                <w:color w:val="auto"/>
                <w:sz w:val="24"/>
              </w:rPr>
              <w:t>据</w:t>
            </w:r>
            <w:bookmarkStart w:id="10" w:name="OLE_LINK714"/>
            <w:r>
              <w:rPr>
                <w:rFonts w:hint="eastAsia"/>
                <w:color w:val="auto"/>
                <w:sz w:val="24"/>
              </w:rPr>
              <w:t>《建设项目环境影响评价分类管理名录</w:t>
            </w:r>
            <w:bookmarkStart w:id="11" w:name="OLE_LINK709"/>
            <w:r>
              <w:rPr>
                <w:rFonts w:hint="eastAsia"/>
                <w:color w:val="auto"/>
                <w:sz w:val="24"/>
              </w:rPr>
              <w:t>（2021年版）》</w:t>
            </w:r>
            <w:bookmarkEnd w:id="10"/>
            <w:r>
              <w:rPr>
                <w:rFonts w:hint="eastAsia"/>
                <w:color w:val="auto"/>
                <w:sz w:val="24"/>
              </w:rPr>
              <w:t>（部令第16号）</w:t>
            </w:r>
            <w:bookmarkEnd w:id="11"/>
            <w:r>
              <w:rPr>
                <w:rFonts w:hint="default" w:ascii="Times New Roman" w:hAnsi="Times New Roman" w:eastAsia="宋体" w:cs="Times New Roman"/>
                <w:color w:val="auto"/>
                <w:sz w:val="24"/>
                <w:szCs w:val="24"/>
                <w:lang w:val="en-US" w:eastAsia="zh-CN"/>
              </w:rPr>
              <w:t>中</w:t>
            </w:r>
            <w:r>
              <w:rPr>
                <w:rFonts w:hint="eastAsia" w:cs="Times New Roman"/>
                <w:color w:val="auto"/>
                <w:sz w:val="24"/>
                <w:szCs w:val="24"/>
                <w:lang w:val="en-US" w:eastAsia="zh-CN"/>
              </w:rPr>
              <w:t>“</w:t>
            </w:r>
            <w:r>
              <w:rPr>
                <w:rFonts w:hint="eastAsia" w:cs="宋体"/>
                <w:color w:val="auto"/>
                <w:szCs w:val="21"/>
                <w:highlight w:val="none"/>
                <w:lang w:val="en-US" w:eastAsia="zh-CN"/>
              </w:rPr>
              <w:t>十二、酒、饮料制造业15-25酒的制造 151*、其他(单纯勾兑的除外)</w:t>
            </w:r>
            <w:r>
              <w:rPr>
                <w:rFonts w:hint="default" w:ascii="Times New Roman" w:hAnsi="Times New Roman" w:eastAsia="宋体" w:cs="Times New Roman"/>
                <w:color w:val="auto"/>
                <w:sz w:val="24"/>
                <w:szCs w:val="24"/>
                <w:lang w:val="en-US" w:eastAsia="zh-CN"/>
              </w:rPr>
              <w:t>的应编制环境影响</w:t>
            </w:r>
            <w:r>
              <w:rPr>
                <w:rFonts w:hint="eastAsia" w:cs="Times New Roman"/>
                <w:color w:val="auto"/>
                <w:sz w:val="24"/>
                <w:szCs w:val="24"/>
                <w:lang w:val="en-US" w:eastAsia="zh-CN"/>
              </w:rPr>
              <w:t>评价</w:t>
            </w:r>
            <w:r>
              <w:rPr>
                <w:rFonts w:hint="default" w:ascii="Times New Roman" w:hAnsi="Times New Roman" w:eastAsia="宋体" w:cs="Times New Roman"/>
                <w:color w:val="auto"/>
                <w:sz w:val="24"/>
                <w:szCs w:val="24"/>
                <w:lang w:val="en-US" w:eastAsia="zh-CN"/>
              </w:rPr>
              <w:t>报告表</w:t>
            </w:r>
            <w:r>
              <w:rPr>
                <w:rFonts w:hint="eastAsia" w:cs="Times New Roman"/>
                <w:color w:val="auto"/>
                <w:sz w:val="24"/>
                <w:szCs w:val="24"/>
                <w:lang w:val="en-US" w:eastAsia="zh-CN"/>
              </w:rPr>
              <w:t>，</w:t>
            </w:r>
            <w:r>
              <w:rPr>
                <w:rFonts w:hint="eastAsia"/>
                <w:color w:val="auto"/>
                <w:sz w:val="24"/>
                <w:lang w:eastAsia="zh-CN"/>
              </w:rPr>
              <w:t>因此本项目应编制环境影响评价报告表。</w:t>
            </w:r>
            <w:r>
              <w:rPr>
                <w:rFonts w:hint="eastAsia" w:cs="Times New Roman"/>
                <w:color w:val="auto"/>
                <w:lang w:eastAsia="zh-CN"/>
              </w:rPr>
              <w:t>佛坪县浓情食品饮料有限责任公司</w:t>
            </w:r>
            <w:r>
              <w:rPr>
                <w:rFonts w:hint="default" w:ascii="Times New Roman" w:hAnsi="Times New Roman" w:eastAsia="宋体" w:cs="Times New Roman"/>
                <w:color w:val="auto"/>
                <w:sz w:val="24"/>
                <w:szCs w:val="24"/>
                <w:highlight w:val="none"/>
                <w:lang w:val="en-US" w:eastAsia="zh-CN"/>
              </w:rPr>
              <w:t>委托</w:t>
            </w:r>
            <w:bookmarkStart w:id="12" w:name="OLE_LINK25"/>
            <w:r>
              <w:rPr>
                <w:rFonts w:hint="default" w:ascii="Times New Roman" w:hAnsi="Times New Roman" w:eastAsia="宋体" w:cs="Times New Roman"/>
                <w:color w:val="auto"/>
                <w:sz w:val="24"/>
                <w:szCs w:val="24"/>
                <w:highlight w:val="none"/>
                <w:lang w:val="en-US" w:eastAsia="zh-CN"/>
              </w:rPr>
              <w:t>陕西兢诚科技服务有限公司</w:t>
            </w:r>
            <w:bookmarkEnd w:id="12"/>
            <w:r>
              <w:rPr>
                <w:rFonts w:hint="default" w:ascii="Times New Roman" w:hAnsi="Times New Roman" w:eastAsia="宋体" w:cs="Times New Roman"/>
                <w:color w:val="auto"/>
                <w:sz w:val="24"/>
                <w:szCs w:val="24"/>
                <w:highlight w:val="none"/>
                <w:lang w:val="en-US" w:eastAsia="zh-CN"/>
              </w:rPr>
              <w:t>承担该项目的环境影响评价工作，陕西兢诚科技服务有限公司接受委托后，对项目进行了详细的现场勘察、资料收集工作，根据工程相关资料，按照</w:t>
            </w:r>
            <w:r>
              <w:rPr>
                <w:color w:val="auto"/>
                <w:sz w:val="24"/>
              </w:rPr>
              <w:t>《建设项目环境影响报告表编制技术指南（污染影响类）》，</w:t>
            </w:r>
            <w:r>
              <w:rPr>
                <w:rFonts w:hint="eastAsia"/>
                <w:color w:val="auto"/>
                <w:sz w:val="24"/>
              </w:rPr>
              <w:t>结合</w:t>
            </w:r>
            <w:r>
              <w:rPr>
                <w:color w:val="auto"/>
                <w:sz w:val="24"/>
              </w:rPr>
              <w:t>建设项目环境影响评价技术导则</w:t>
            </w:r>
            <w:r>
              <w:rPr>
                <w:rFonts w:hint="eastAsia"/>
                <w:color w:val="auto"/>
                <w:sz w:val="24"/>
                <w:lang w:val="en-US" w:eastAsia="zh-CN"/>
              </w:rPr>
              <w:t>相关</w:t>
            </w:r>
            <w:r>
              <w:rPr>
                <w:color w:val="auto"/>
                <w:sz w:val="24"/>
              </w:rPr>
              <w:t>规定，</w:t>
            </w:r>
            <w:r>
              <w:rPr>
                <w:rFonts w:hint="default" w:ascii="Times New Roman" w:hAnsi="Times New Roman" w:eastAsia="宋体" w:cs="Times New Roman"/>
                <w:color w:val="auto"/>
                <w:sz w:val="24"/>
                <w:szCs w:val="24"/>
                <w:highlight w:val="none"/>
                <w:lang w:val="en-US" w:eastAsia="zh-CN"/>
              </w:rPr>
              <w:t>编制完成了《</w:t>
            </w:r>
            <w:r>
              <w:rPr>
                <w:rFonts w:hint="eastAsia" w:cs="Times New Roman"/>
                <w:color w:val="auto"/>
                <w:lang w:val="en-US" w:eastAsia="zh-CN"/>
              </w:rPr>
              <w:t>佛坪县山茱萸发酵(含脱醇)酒改</w:t>
            </w:r>
            <w:r>
              <w:rPr>
                <w:rFonts w:hint="eastAsia" w:cs="Times New Roman"/>
                <w:color w:val="auto"/>
                <w:highlight w:val="none"/>
                <w:lang w:val="en-US" w:eastAsia="zh-CN"/>
              </w:rPr>
              <w:t>建项目</w:t>
            </w:r>
            <w:r>
              <w:rPr>
                <w:rFonts w:hint="default" w:ascii="Times New Roman" w:hAnsi="Times New Roman" w:eastAsia="宋体" w:cs="Times New Roman"/>
                <w:color w:val="auto"/>
                <w:sz w:val="24"/>
                <w:szCs w:val="24"/>
                <w:highlight w:val="none"/>
                <w:lang w:val="en-US" w:eastAsia="zh-CN"/>
              </w:rPr>
              <w:t>环境影响报告表》，委托书见附件</w:t>
            </w:r>
            <w:r>
              <w:rPr>
                <w:rFonts w:hint="eastAsia"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w:t>
            </w:r>
          </w:p>
          <w:p w14:paraId="114A5246">
            <w:pPr>
              <w:bidi w:val="0"/>
              <w:rPr>
                <w:rFonts w:ascii="Times New Roman" w:hAnsi="Times New Roman" w:eastAsia="宋体"/>
                <w:b/>
                <w:bCs/>
                <w:color w:val="auto"/>
                <w:highlight w:val="none"/>
              </w:rPr>
            </w:pPr>
            <w:r>
              <w:rPr>
                <w:rFonts w:hint="eastAsia" w:ascii="Times New Roman" w:hAnsi="Times New Roman" w:eastAsia="宋体"/>
                <w:b/>
                <w:bCs/>
                <w:color w:val="auto"/>
                <w:highlight w:val="none"/>
              </w:rPr>
              <w:t>2.2项目基本情况</w:t>
            </w:r>
          </w:p>
          <w:p w14:paraId="328CD324">
            <w:pPr>
              <w:bidi w:val="0"/>
              <w:rPr>
                <w:rFonts w:hint="eastAsia" w:ascii="Times New Roman" w:hAnsi="Times New Roman" w:eastAsia="宋体"/>
                <w:color w:val="auto"/>
                <w:highlight w:val="none"/>
                <w:lang w:eastAsia="zh-CN"/>
              </w:rPr>
            </w:pPr>
            <w:r>
              <w:rPr>
                <w:rFonts w:hint="eastAsia" w:ascii="Times New Roman" w:hAnsi="Times New Roman" w:eastAsia="宋体"/>
                <w:color w:val="auto"/>
                <w:highlight w:val="none"/>
              </w:rPr>
              <w:t>项目名称：</w:t>
            </w:r>
            <w:r>
              <w:rPr>
                <w:rFonts w:hint="eastAsia" w:cs="宋体"/>
                <w:color w:val="auto"/>
                <w:szCs w:val="21"/>
                <w:highlight w:val="none"/>
                <w:lang w:eastAsia="zh-CN"/>
              </w:rPr>
              <w:t>佛坪县山茱萸发酵(含脱醇)酒改建项目</w:t>
            </w:r>
          </w:p>
          <w:p w14:paraId="650B8454">
            <w:pPr>
              <w:bidi w:val="0"/>
              <w:rPr>
                <w:rFonts w:hint="eastAsia"/>
                <w:color w:val="auto"/>
                <w:highlight w:val="none"/>
                <w:lang w:val="en-US" w:eastAsia="zh-CN"/>
              </w:rPr>
            </w:pPr>
            <w:r>
              <w:rPr>
                <w:rFonts w:hint="eastAsia" w:ascii="Times New Roman" w:hAnsi="Times New Roman" w:eastAsia="宋体"/>
                <w:color w:val="auto"/>
                <w:highlight w:val="none"/>
              </w:rPr>
              <w:t>建设单位：</w:t>
            </w:r>
            <w:r>
              <w:rPr>
                <w:rFonts w:hint="eastAsia" w:cs="Times New Roman"/>
                <w:color w:val="auto"/>
                <w:lang w:eastAsia="zh-CN"/>
              </w:rPr>
              <w:t>陕西浓情秦泉酒业有限责任公司（原</w:t>
            </w:r>
            <w:r>
              <w:rPr>
                <w:rFonts w:hint="eastAsia" w:cs="宋体"/>
                <w:color w:val="auto"/>
                <w:szCs w:val="21"/>
                <w:highlight w:val="none"/>
                <w:lang w:val="en-US" w:eastAsia="zh-CN"/>
              </w:rPr>
              <w:t>佛坪县浓情食品饮料有限责任公司）</w:t>
            </w:r>
          </w:p>
          <w:p w14:paraId="5DB92425">
            <w:pPr>
              <w:bidi w:val="0"/>
              <w:rPr>
                <w:rFonts w:ascii="Times New Roman" w:hAnsi="Times New Roman" w:eastAsia="宋体"/>
                <w:color w:val="FF0000"/>
                <w:highlight w:val="none"/>
              </w:rPr>
            </w:pPr>
            <w:r>
              <w:rPr>
                <w:rFonts w:hint="eastAsia" w:ascii="Times New Roman" w:hAnsi="Times New Roman" w:eastAsia="宋体"/>
                <w:color w:val="FF0000"/>
                <w:highlight w:val="none"/>
              </w:rPr>
              <w:t>建设性质：</w:t>
            </w:r>
            <w:r>
              <w:rPr>
                <w:rFonts w:hint="eastAsia"/>
                <w:color w:val="FF0000"/>
                <w:highlight w:val="none"/>
                <w:lang w:eastAsia="zh-CN"/>
              </w:rPr>
              <w:t>新建</w:t>
            </w:r>
          </w:p>
          <w:p w14:paraId="6BB2679C">
            <w:pPr>
              <w:bidi w:val="0"/>
              <w:rPr>
                <w:rFonts w:hint="eastAsia" w:ascii="Times New Roman" w:hAnsi="Times New Roman" w:eastAsia="宋体"/>
                <w:color w:val="auto"/>
                <w:highlight w:val="none"/>
                <w:lang w:val="en-US" w:eastAsia="zh-CN"/>
              </w:rPr>
            </w:pPr>
            <w:r>
              <w:rPr>
                <w:rFonts w:hint="eastAsia" w:ascii="Times New Roman" w:hAnsi="Times New Roman" w:eastAsia="宋体"/>
                <w:color w:val="auto"/>
                <w:highlight w:val="none"/>
              </w:rPr>
              <w:t>建设地点：</w:t>
            </w:r>
            <w:r>
              <w:rPr>
                <w:rFonts w:hint="eastAsia"/>
                <w:color w:val="auto"/>
                <w:highlight w:val="none"/>
                <w:lang w:eastAsia="zh-CN"/>
              </w:rPr>
              <w:t>陕西省汉中市佛坪县塘湾路</w:t>
            </w:r>
            <w:r>
              <w:rPr>
                <w:rFonts w:hint="eastAsia"/>
                <w:color w:val="auto"/>
                <w:highlight w:val="none"/>
                <w:lang w:val="en-US" w:eastAsia="zh-CN"/>
              </w:rPr>
              <w:t>38</w:t>
            </w:r>
            <w:r>
              <w:rPr>
                <w:rFonts w:hint="eastAsia"/>
                <w:color w:val="auto"/>
                <w:highlight w:val="none"/>
                <w:lang w:eastAsia="zh-CN"/>
              </w:rPr>
              <w:t>号</w:t>
            </w:r>
          </w:p>
          <w:p w14:paraId="53B4A7FE">
            <w:pPr>
              <w:spacing w:line="360" w:lineRule="auto"/>
              <w:ind w:firstLine="480" w:firstLineChars="200"/>
              <w:rPr>
                <w:color w:val="auto"/>
                <w:sz w:val="24"/>
                <w:highlight w:val="none"/>
              </w:rPr>
            </w:pPr>
            <w:r>
              <w:rPr>
                <w:color w:val="auto"/>
                <w:sz w:val="24"/>
                <w:highlight w:val="none"/>
              </w:rPr>
              <w:t>投资总额：总投资</w:t>
            </w:r>
            <w:r>
              <w:rPr>
                <w:rFonts w:hint="eastAsia"/>
                <w:color w:val="auto"/>
                <w:sz w:val="24"/>
                <w:highlight w:val="none"/>
                <w:lang w:val="en-US" w:eastAsia="zh-CN"/>
              </w:rPr>
              <w:t>980</w:t>
            </w:r>
            <w:r>
              <w:rPr>
                <w:color w:val="auto"/>
                <w:sz w:val="24"/>
                <w:highlight w:val="none"/>
              </w:rPr>
              <w:t>万元，其中环保投资</w:t>
            </w:r>
            <w:r>
              <w:rPr>
                <w:rFonts w:hint="eastAsia"/>
                <w:color w:val="auto"/>
                <w:sz w:val="24"/>
                <w:highlight w:val="none"/>
                <w:lang w:val="en-US" w:eastAsia="zh-CN"/>
              </w:rPr>
              <w:t>50</w:t>
            </w:r>
            <w:r>
              <w:rPr>
                <w:color w:val="auto"/>
                <w:sz w:val="24"/>
                <w:highlight w:val="none"/>
              </w:rPr>
              <w:t>万元，环保投资占比</w:t>
            </w:r>
            <w:r>
              <w:rPr>
                <w:rFonts w:hint="eastAsia"/>
                <w:color w:val="auto"/>
                <w:sz w:val="24"/>
                <w:highlight w:val="none"/>
                <w:lang w:val="en-US" w:eastAsia="zh-CN"/>
              </w:rPr>
              <w:t>5.10</w:t>
            </w:r>
            <w:r>
              <w:rPr>
                <w:color w:val="auto"/>
                <w:sz w:val="24"/>
                <w:highlight w:val="none"/>
              </w:rPr>
              <w:t>%。</w:t>
            </w:r>
          </w:p>
          <w:p w14:paraId="45559264">
            <w:pPr>
              <w:bidi w:val="0"/>
              <w:rPr>
                <w:rFonts w:hint="default" w:ascii="Times New Roman" w:hAnsi="Times New Roman" w:eastAsia="宋体" w:cs="Times New Roman"/>
                <w:color w:val="auto"/>
                <w:sz w:val="24"/>
                <w:szCs w:val="24"/>
                <w:highlight w:val="none"/>
                <w:lang w:val="en-US" w:eastAsia="zh-CN"/>
              </w:rPr>
            </w:pPr>
            <w:r>
              <w:rPr>
                <w:rFonts w:hint="eastAsia"/>
                <w:color w:val="auto"/>
                <w:highlight w:val="none"/>
                <w:lang w:eastAsia="zh-CN"/>
              </w:rPr>
              <w:t>四邻关系：</w:t>
            </w:r>
            <w:r>
              <w:rPr>
                <w:rFonts w:hint="eastAsia" w:ascii="Times New Roman" w:hAnsi="Times New Roman" w:eastAsia="宋体"/>
                <w:color w:val="auto"/>
                <w:highlight w:val="none"/>
                <w:lang w:val="en-US" w:eastAsia="zh-CN"/>
              </w:rPr>
              <w:t>根据现场勘查，</w:t>
            </w:r>
            <w:r>
              <w:rPr>
                <w:rFonts w:hint="default" w:ascii="Times New Roman" w:hAnsi="Times New Roman" w:eastAsia="宋体" w:cs="Times New Roman"/>
                <w:color w:val="auto"/>
                <w:sz w:val="24"/>
                <w:szCs w:val="24"/>
                <w:lang w:val="en-US" w:eastAsia="zh-CN"/>
              </w:rPr>
              <w:t>项目厂房位于</w:t>
            </w:r>
            <w:r>
              <w:rPr>
                <w:rFonts w:hint="eastAsia"/>
                <w:color w:val="auto"/>
                <w:highlight w:val="none"/>
                <w:lang w:eastAsia="zh-CN"/>
              </w:rPr>
              <w:t>汉中市佛坪县塘湾路</w:t>
            </w:r>
            <w:r>
              <w:rPr>
                <w:rFonts w:hint="eastAsia"/>
                <w:color w:val="auto"/>
                <w:highlight w:val="none"/>
                <w:lang w:val="en-US" w:eastAsia="zh-CN"/>
              </w:rPr>
              <w:t>38</w:t>
            </w:r>
            <w:r>
              <w:rPr>
                <w:rFonts w:hint="eastAsia"/>
                <w:color w:val="auto"/>
                <w:highlight w:val="none"/>
                <w:lang w:eastAsia="zh-CN"/>
              </w:rPr>
              <w:t>号</w:t>
            </w:r>
            <w:r>
              <w:rPr>
                <w:rFonts w:hint="eastAsia" w:cs="Times New Roman"/>
                <w:color w:val="auto"/>
                <w:sz w:val="24"/>
                <w:szCs w:val="24"/>
                <w:lang w:val="en-US" w:eastAsia="zh-CN"/>
              </w:rPr>
              <w:t>。东侧为塘湾村居民住宅，南侧为佛坪县气象局、道路和停车场，西侧为塘湾路，北侧为佛坪云溪酒店</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highlight w:val="none"/>
                <w:lang w:val="en-US" w:eastAsia="zh-CN"/>
              </w:rPr>
              <w:t>项目四邻关系图详见附图4。</w:t>
            </w:r>
          </w:p>
          <w:p w14:paraId="7270B9DB">
            <w:pPr>
              <w:ind w:firstLine="482"/>
              <w:rPr>
                <w:rFonts w:ascii="Times New Roman" w:hAnsi="Times New Roman" w:eastAsia="宋体"/>
                <w:b/>
                <w:bCs/>
                <w:color w:val="auto"/>
                <w:kern w:val="0"/>
                <w:highlight w:val="none"/>
              </w:rPr>
            </w:pPr>
            <w:r>
              <w:rPr>
                <w:rFonts w:hint="eastAsia" w:ascii="Times New Roman" w:hAnsi="Times New Roman" w:eastAsia="宋体"/>
                <w:b/>
                <w:color w:val="auto"/>
                <w:sz w:val="24"/>
                <w:szCs w:val="24"/>
                <w:highlight w:val="none"/>
                <w:lang w:val="en-US" w:eastAsia="zh-CN"/>
              </w:rPr>
              <w:t>2.3</w:t>
            </w:r>
            <w:r>
              <w:rPr>
                <w:rFonts w:hint="eastAsia" w:ascii="Times New Roman" w:hAnsi="Times New Roman" w:eastAsia="宋体"/>
                <w:b/>
                <w:bCs/>
                <w:color w:val="auto"/>
                <w:kern w:val="0"/>
                <w:highlight w:val="none"/>
              </w:rPr>
              <w:t>项目</w:t>
            </w:r>
            <w:r>
              <w:rPr>
                <w:rFonts w:hint="eastAsia"/>
                <w:b/>
                <w:bCs/>
                <w:color w:val="auto"/>
                <w:kern w:val="0"/>
                <w:highlight w:val="none"/>
                <w:lang w:eastAsia="zh-CN"/>
              </w:rPr>
              <w:t>工程</w:t>
            </w:r>
            <w:r>
              <w:rPr>
                <w:rFonts w:hint="eastAsia" w:ascii="Times New Roman" w:hAnsi="Times New Roman" w:eastAsia="宋体"/>
                <w:b/>
                <w:bCs/>
                <w:color w:val="auto"/>
                <w:kern w:val="0"/>
                <w:highlight w:val="none"/>
              </w:rPr>
              <w:t>组成与建设内容</w:t>
            </w:r>
          </w:p>
          <w:p w14:paraId="61D5E6C2">
            <w:pPr>
              <w:ind w:firstLine="482"/>
              <w:rPr>
                <w:rFonts w:hint="eastAsia" w:ascii="Times New Roman" w:hAnsi="Times New Roman" w:eastAsia="宋体"/>
                <w:b/>
                <w:bCs/>
                <w:color w:val="auto"/>
                <w:kern w:val="0"/>
                <w:highlight w:val="none"/>
                <w:lang w:eastAsia="zh-CN"/>
              </w:rPr>
            </w:pPr>
            <w:r>
              <w:rPr>
                <w:rFonts w:hint="eastAsia" w:ascii="Times New Roman" w:hAnsi="Times New Roman" w:eastAsia="宋体"/>
                <w:b/>
                <w:bCs/>
                <w:color w:val="auto"/>
                <w:kern w:val="0"/>
                <w:highlight w:val="none"/>
              </w:rPr>
              <w:t>2.</w:t>
            </w:r>
            <w:r>
              <w:rPr>
                <w:rFonts w:hint="eastAsia"/>
                <w:b/>
                <w:bCs/>
                <w:color w:val="auto"/>
                <w:kern w:val="0"/>
                <w:highlight w:val="none"/>
                <w:lang w:val="en-US" w:eastAsia="zh-CN"/>
              </w:rPr>
              <w:t>3</w:t>
            </w:r>
            <w:r>
              <w:rPr>
                <w:rFonts w:hint="eastAsia" w:ascii="Times New Roman" w:hAnsi="Times New Roman" w:eastAsia="宋体"/>
                <w:b/>
                <w:bCs/>
                <w:color w:val="auto"/>
                <w:kern w:val="0"/>
                <w:highlight w:val="none"/>
              </w:rPr>
              <w:t>.1</w:t>
            </w:r>
            <w:r>
              <w:rPr>
                <w:rFonts w:hint="eastAsia"/>
                <w:b/>
                <w:bCs/>
                <w:color w:val="auto"/>
                <w:kern w:val="0"/>
                <w:highlight w:val="none"/>
                <w:lang w:eastAsia="zh-CN"/>
              </w:rPr>
              <w:t>工程组成</w:t>
            </w:r>
          </w:p>
          <w:p w14:paraId="5F9667EF">
            <w:pPr>
              <w:spacing w:line="360" w:lineRule="auto"/>
              <w:ind w:firstLine="480" w:firstLineChars="200"/>
              <w:rPr>
                <w:rFonts w:hint="eastAsia"/>
                <w:color w:val="auto"/>
                <w:sz w:val="24"/>
              </w:rPr>
            </w:pPr>
            <w:r>
              <w:rPr>
                <w:rFonts w:hint="eastAsia"/>
                <w:color w:val="auto"/>
                <w:sz w:val="24"/>
                <w:highlight w:val="none"/>
                <w:lang w:eastAsia="zh-CN"/>
              </w:rPr>
              <w:t>经现场踏勘，目前</w:t>
            </w:r>
            <w:r>
              <w:rPr>
                <w:rFonts w:hint="eastAsia"/>
                <w:color w:val="auto"/>
                <w:sz w:val="24"/>
                <w:highlight w:val="none"/>
              </w:rPr>
              <w:t>本项目</w:t>
            </w:r>
            <w:r>
              <w:rPr>
                <w:rFonts w:hint="eastAsia" w:cs="Times New Roman"/>
                <w:color w:val="auto"/>
                <w:lang w:val="en-US" w:eastAsia="zh-CN"/>
              </w:rPr>
              <w:t>租赁佛坪县秦泉饮料食品有限责任公司现有厂区</w:t>
            </w:r>
            <w:r>
              <w:rPr>
                <w:rFonts w:hint="eastAsia"/>
                <w:color w:val="auto"/>
                <w:sz w:val="24"/>
                <w:highlight w:val="none"/>
              </w:rPr>
              <w:t>，</w:t>
            </w:r>
            <w:r>
              <w:rPr>
                <w:rFonts w:hint="eastAsia"/>
                <w:color w:val="auto"/>
                <w:sz w:val="24"/>
                <w:highlight w:val="none"/>
                <w:lang w:eastAsia="zh-CN"/>
              </w:rPr>
              <w:t>厂区</w:t>
            </w:r>
            <w:r>
              <w:rPr>
                <w:rFonts w:hint="eastAsia" w:ascii="Times New Roman" w:hAnsi="Times New Roman" w:eastAsia="宋体" w:cs="Times New Roman"/>
                <w:b w:val="0"/>
                <w:bCs w:val="0"/>
                <w:color w:val="auto"/>
                <w:sz w:val="24"/>
                <w:szCs w:val="24"/>
                <w:lang w:val="en-US" w:eastAsia="zh-CN"/>
              </w:rPr>
              <w:t>租赁时车间、道路等防渗已建</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bCs/>
                <w:color w:val="auto"/>
                <w:kern w:val="0"/>
                <w:sz w:val="24"/>
                <w:lang w:val="en-US" w:eastAsia="zh-CN"/>
              </w:rPr>
              <w:t>购置净水设备</w:t>
            </w:r>
            <w:r>
              <w:rPr>
                <w:rFonts w:hint="eastAsia" w:ascii="Times New Roman" w:hAnsi="Times New Roman" w:eastAsia="宋体" w:cs="Times New Roman"/>
                <w:bCs/>
                <w:color w:val="auto"/>
                <w:kern w:val="0"/>
                <w:sz w:val="24"/>
                <w:lang w:val="en-US" w:eastAsia="zh-CN"/>
              </w:rPr>
              <w:t>，</w:t>
            </w:r>
            <w:r>
              <w:rPr>
                <w:rFonts w:hint="default" w:ascii="Times New Roman" w:hAnsi="Times New Roman" w:eastAsia="宋体" w:cs="Times New Roman"/>
                <w:bCs/>
                <w:color w:val="auto"/>
                <w:kern w:val="0"/>
                <w:sz w:val="24"/>
                <w:lang w:val="en-US" w:eastAsia="zh-CN"/>
              </w:rPr>
              <w:t>发酵、制冷全套生产设备</w:t>
            </w:r>
            <w:r>
              <w:rPr>
                <w:rFonts w:hint="eastAsia" w:cs="Times New Roman"/>
                <w:bCs/>
                <w:color w:val="auto"/>
                <w:kern w:val="0"/>
                <w:sz w:val="24"/>
                <w:highlight w:val="none"/>
                <w:lang w:val="en-US" w:eastAsia="zh-CN"/>
              </w:rPr>
              <w:t>等</w:t>
            </w:r>
            <w:r>
              <w:rPr>
                <w:rFonts w:hint="eastAsia" w:ascii="Times New Roman" w:hAnsi="Times New Roman" w:eastAsia="宋体" w:cs="Times New Roman"/>
                <w:bCs/>
                <w:color w:val="auto"/>
                <w:kern w:val="0"/>
                <w:sz w:val="24"/>
                <w:highlight w:val="none"/>
                <w:lang w:val="en-US" w:eastAsia="zh-CN"/>
              </w:rPr>
              <w:t>，</w:t>
            </w:r>
            <w:r>
              <w:rPr>
                <w:rFonts w:hint="default" w:ascii="Times New Roman" w:hAnsi="Times New Roman" w:eastAsia="宋体" w:cs="Times New Roman"/>
                <w:bCs/>
                <w:color w:val="auto"/>
                <w:kern w:val="0"/>
                <w:sz w:val="24"/>
                <w:highlight w:val="none"/>
                <w:lang w:val="en-US" w:eastAsia="zh-CN"/>
              </w:rPr>
              <w:t>配套包装流水线。项目建成后，年产山茱萸发酵(含脱醇)酒</w:t>
            </w:r>
            <w:r>
              <w:rPr>
                <w:rFonts w:hint="eastAsia" w:ascii="Times New Roman" w:hAnsi="Times New Roman" w:eastAsia="宋体" w:cs="Times New Roman"/>
                <w:bCs/>
                <w:color w:val="auto"/>
                <w:kern w:val="0"/>
                <w:sz w:val="24"/>
                <w:highlight w:val="none"/>
                <w:lang w:val="en-US" w:eastAsia="zh-CN"/>
              </w:rPr>
              <w:t>2</w:t>
            </w:r>
            <w:r>
              <w:rPr>
                <w:rFonts w:hint="default" w:ascii="Times New Roman" w:hAnsi="Times New Roman" w:eastAsia="宋体" w:cs="Times New Roman"/>
                <w:bCs/>
                <w:color w:val="auto"/>
                <w:kern w:val="0"/>
                <w:sz w:val="24"/>
                <w:highlight w:val="none"/>
                <w:lang w:val="en-US" w:eastAsia="zh-CN"/>
              </w:rPr>
              <w:t>00吨</w:t>
            </w:r>
            <w:r>
              <w:rPr>
                <w:rFonts w:hint="default" w:ascii="Times New Roman" w:hAnsi="Times New Roman" w:eastAsia="宋体" w:cs="Times New Roman"/>
                <w:bCs/>
                <w:color w:val="auto"/>
                <w:kern w:val="0"/>
                <w:sz w:val="24"/>
                <w:highlight w:val="none"/>
              </w:rPr>
              <w:t>。</w:t>
            </w:r>
            <w:r>
              <w:rPr>
                <w:rFonts w:hint="eastAsia" w:cs="Times New Roman"/>
                <w:color w:val="auto"/>
                <w:sz w:val="24"/>
                <w:szCs w:val="24"/>
                <w:highlight w:val="none"/>
                <w:lang w:val="en-US" w:eastAsia="zh-CN"/>
              </w:rPr>
              <w:t>项目山茱萸发酵酒生产线已于2022年9月开工建设，2024年8月建成</w:t>
            </w:r>
            <w:r>
              <w:rPr>
                <w:rFonts w:hint="eastAsia"/>
                <w:color w:val="auto"/>
                <w:sz w:val="24"/>
                <w:highlight w:val="none"/>
                <w:lang w:eastAsia="zh-CN"/>
              </w:rPr>
              <w:t>，</w:t>
            </w:r>
            <w:r>
              <w:rPr>
                <w:rFonts w:hint="eastAsia"/>
                <w:color w:val="FF0000"/>
                <w:sz w:val="24"/>
                <w:highlight w:val="none"/>
                <w:lang w:eastAsia="zh-CN"/>
              </w:rPr>
              <w:t>脱醇酒生产线目前已购置设备，尚未安装，</w:t>
            </w:r>
            <w:r>
              <w:rPr>
                <w:rFonts w:hint="eastAsia"/>
                <w:color w:val="auto"/>
                <w:sz w:val="24"/>
                <w:highlight w:val="none"/>
                <w:lang w:val="en-US" w:eastAsia="zh-CN"/>
              </w:rPr>
              <w:t>本</w:t>
            </w:r>
            <w:r>
              <w:rPr>
                <w:rFonts w:hint="eastAsia" w:ascii="Times New Roman" w:hAnsi="Times New Roman" w:eastAsia="宋体" w:cs="Times New Roman"/>
                <w:color w:val="auto"/>
                <w:kern w:val="2"/>
                <w:sz w:val="24"/>
                <w:szCs w:val="24"/>
                <w:highlight w:val="none"/>
                <w:lang w:val="en-US" w:eastAsia="zh-CN" w:bidi="ar-SA"/>
              </w:rPr>
              <w:t>项目</w:t>
            </w:r>
            <w:r>
              <w:rPr>
                <w:rFonts w:hint="eastAsia" w:cs="Times New Roman"/>
                <w:color w:val="auto"/>
                <w:kern w:val="2"/>
                <w:sz w:val="24"/>
                <w:szCs w:val="24"/>
                <w:highlight w:val="none"/>
                <w:lang w:val="en-US" w:eastAsia="zh-CN" w:bidi="ar-SA"/>
              </w:rPr>
              <w:t>主要</w:t>
            </w:r>
            <w:r>
              <w:rPr>
                <w:rFonts w:hint="eastAsia" w:ascii="Times New Roman" w:hAnsi="Times New Roman" w:eastAsia="宋体" w:cs="Times New Roman"/>
                <w:color w:val="auto"/>
                <w:kern w:val="2"/>
                <w:sz w:val="24"/>
                <w:szCs w:val="24"/>
                <w:highlight w:val="none"/>
                <w:lang w:val="en-US" w:eastAsia="zh-CN" w:bidi="ar-SA"/>
              </w:rPr>
              <w:t>建设内容及组成详见</w:t>
            </w:r>
            <w:r>
              <w:rPr>
                <w:rFonts w:hint="eastAsia" w:cs="Times New Roman"/>
                <w:color w:val="auto"/>
                <w:kern w:val="2"/>
                <w:sz w:val="24"/>
                <w:szCs w:val="24"/>
                <w:highlight w:val="none"/>
                <w:lang w:val="en-US" w:eastAsia="zh-CN" w:bidi="ar-SA"/>
              </w:rPr>
              <w:t>下</w:t>
            </w:r>
            <w:r>
              <w:rPr>
                <w:rFonts w:hint="eastAsia" w:ascii="Times New Roman" w:hAnsi="Times New Roman" w:eastAsia="宋体" w:cs="Times New Roman"/>
                <w:color w:val="auto"/>
                <w:kern w:val="2"/>
                <w:sz w:val="24"/>
                <w:szCs w:val="24"/>
                <w:highlight w:val="none"/>
                <w:lang w:val="en-US" w:eastAsia="zh-CN" w:bidi="ar-SA"/>
              </w:rPr>
              <w:t>表</w:t>
            </w:r>
            <w:r>
              <w:rPr>
                <w:rFonts w:hint="eastAsia" w:cs="Times New Roman"/>
                <w:color w:val="auto"/>
                <w:kern w:val="2"/>
                <w:sz w:val="24"/>
                <w:szCs w:val="24"/>
                <w:highlight w:val="none"/>
                <w:lang w:val="en-US" w:eastAsia="zh-CN" w:bidi="ar-SA"/>
              </w:rPr>
              <w:t>：</w:t>
            </w:r>
          </w:p>
          <w:p w14:paraId="07BF556C">
            <w:pPr>
              <w:widowControl/>
              <w:spacing w:line="240" w:lineRule="auto"/>
              <w:ind w:firstLine="0" w:firstLineChars="0"/>
              <w:jc w:val="center"/>
              <w:rPr>
                <w:rFonts w:hint="eastAsia" w:ascii="Times New Roman" w:hAnsi="Times New Roman" w:eastAsia="宋体" w:cs="宋体"/>
                <w:b/>
                <w:bCs/>
                <w:color w:val="auto"/>
                <w:kern w:val="0"/>
                <w:sz w:val="21"/>
                <w:szCs w:val="21"/>
                <w:highlight w:val="none"/>
                <w:lang w:bidi="ar"/>
              </w:rPr>
            </w:pPr>
            <w:r>
              <w:rPr>
                <w:rFonts w:hint="eastAsia" w:ascii="Times New Roman" w:hAnsi="Times New Roman" w:eastAsia="宋体" w:cs="宋体"/>
                <w:b/>
                <w:bCs/>
                <w:color w:val="auto"/>
                <w:kern w:val="0"/>
                <w:sz w:val="21"/>
                <w:szCs w:val="21"/>
                <w:highlight w:val="none"/>
                <w:lang w:bidi="ar"/>
              </w:rPr>
              <w:t>表</w:t>
            </w:r>
            <w:r>
              <w:rPr>
                <w:rFonts w:hint="eastAsia" w:cs="宋体"/>
                <w:b/>
                <w:bCs/>
                <w:color w:val="auto"/>
                <w:kern w:val="0"/>
                <w:sz w:val="21"/>
                <w:szCs w:val="21"/>
                <w:highlight w:val="none"/>
                <w:lang w:val="en-US" w:eastAsia="zh-CN" w:bidi="ar"/>
              </w:rPr>
              <w:t>2-1</w:t>
            </w:r>
            <w:r>
              <w:rPr>
                <w:rFonts w:hint="eastAsia" w:ascii="Times New Roman" w:hAnsi="Times New Roman" w:eastAsia="宋体" w:cs="宋体"/>
                <w:b/>
                <w:bCs/>
                <w:color w:val="auto"/>
                <w:kern w:val="0"/>
                <w:sz w:val="21"/>
                <w:szCs w:val="21"/>
                <w:highlight w:val="none"/>
                <w:lang w:val="en-US" w:eastAsia="zh-CN" w:bidi="ar"/>
              </w:rPr>
              <w:t xml:space="preserve"> </w:t>
            </w:r>
            <w:r>
              <w:rPr>
                <w:rFonts w:hint="eastAsia" w:cs="宋体"/>
                <w:b/>
                <w:bCs/>
                <w:color w:val="auto"/>
                <w:kern w:val="0"/>
                <w:sz w:val="21"/>
                <w:szCs w:val="21"/>
                <w:highlight w:val="none"/>
                <w:lang w:val="en-US" w:eastAsia="zh-CN" w:bidi="ar"/>
              </w:rPr>
              <w:t>本</w:t>
            </w:r>
            <w:r>
              <w:rPr>
                <w:rFonts w:hint="eastAsia" w:cs="宋体"/>
                <w:b/>
                <w:bCs/>
                <w:color w:val="auto"/>
                <w:kern w:val="0"/>
                <w:sz w:val="21"/>
                <w:szCs w:val="21"/>
                <w:highlight w:val="none"/>
                <w:lang w:eastAsia="zh-CN" w:bidi="ar"/>
              </w:rPr>
              <w:t>项目工程</w:t>
            </w:r>
            <w:r>
              <w:rPr>
                <w:rFonts w:hint="eastAsia" w:ascii="Times New Roman" w:hAnsi="Times New Roman" w:eastAsia="宋体" w:cs="宋体"/>
                <w:b/>
                <w:bCs/>
                <w:color w:val="auto"/>
                <w:kern w:val="0"/>
                <w:sz w:val="21"/>
                <w:szCs w:val="21"/>
                <w:highlight w:val="none"/>
                <w:lang w:bidi="ar"/>
              </w:rPr>
              <w:t>组成一览表</w:t>
            </w:r>
          </w:p>
          <w:tbl>
            <w:tblPr>
              <w:tblStyle w:val="25"/>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800"/>
              <w:gridCol w:w="881"/>
              <w:gridCol w:w="4936"/>
              <w:gridCol w:w="1639"/>
            </w:tblGrid>
            <w:tr w14:paraId="19C795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385" w:type="pct"/>
                  <w:noWrap w:val="0"/>
                  <w:vAlign w:val="center"/>
                </w:tcPr>
                <w:p w14:paraId="1E395F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
                      <w:bCs/>
                      <w:color w:val="auto"/>
                      <w:kern w:val="0"/>
                      <w:sz w:val="21"/>
                      <w:szCs w:val="21"/>
                      <w:highlight w:val="none"/>
                      <w:lang w:val="en-US" w:eastAsia="zh-CN"/>
                    </w:rPr>
                  </w:pPr>
                  <w:r>
                    <w:rPr>
                      <w:rFonts w:hint="eastAsia" w:cs="宋体"/>
                      <w:b/>
                      <w:bCs/>
                      <w:color w:val="auto"/>
                      <w:kern w:val="0"/>
                      <w:sz w:val="21"/>
                      <w:szCs w:val="21"/>
                      <w:highlight w:val="none"/>
                      <w:lang w:val="en-US" w:eastAsia="zh-CN"/>
                    </w:rPr>
                    <w:t>类别</w:t>
                  </w:r>
                </w:p>
              </w:tc>
              <w:tc>
                <w:tcPr>
                  <w:tcW w:w="939" w:type="pct"/>
                  <w:gridSpan w:val="2"/>
                  <w:noWrap w:val="0"/>
                  <w:vAlign w:val="center"/>
                </w:tcPr>
                <w:p w14:paraId="46FA41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
                      <w:bCs/>
                      <w:color w:val="auto"/>
                      <w:kern w:val="0"/>
                      <w:sz w:val="21"/>
                      <w:szCs w:val="21"/>
                      <w:highlight w:val="none"/>
                      <w:lang w:eastAsia="zh-CN"/>
                    </w:rPr>
                  </w:pPr>
                  <w:r>
                    <w:rPr>
                      <w:rFonts w:hint="eastAsia" w:cs="宋体"/>
                      <w:b/>
                      <w:bCs/>
                      <w:color w:val="auto"/>
                      <w:kern w:val="0"/>
                      <w:sz w:val="21"/>
                      <w:szCs w:val="21"/>
                      <w:highlight w:val="none"/>
                      <w:lang w:eastAsia="zh-CN"/>
                    </w:rPr>
                    <w:t>工程名称</w:t>
                  </w:r>
                </w:p>
              </w:tc>
              <w:tc>
                <w:tcPr>
                  <w:tcW w:w="2758" w:type="pct"/>
                  <w:noWrap w:val="0"/>
                  <w:vAlign w:val="center"/>
                </w:tcPr>
                <w:p w14:paraId="3ED137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
                      <w:bCs/>
                      <w:color w:val="auto"/>
                      <w:kern w:val="0"/>
                      <w:sz w:val="21"/>
                      <w:szCs w:val="21"/>
                      <w:highlight w:val="none"/>
                      <w:lang w:eastAsia="zh-CN"/>
                    </w:rPr>
                  </w:pPr>
                  <w:r>
                    <w:rPr>
                      <w:rFonts w:hint="eastAsia" w:cs="宋体"/>
                      <w:b/>
                      <w:bCs/>
                      <w:color w:val="auto"/>
                      <w:kern w:val="0"/>
                      <w:sz w:val="21"/>
                      <w:szCs w:val="21"/>
                      <w:highlight w:val="none"/>
                      <w:lang w:eastAsia="zh-CN"/>
                    </w:rPr>
                    <w:t>建设内容</w:t>
                  </w:r>
                </w:p>
              </w:tc>
              <w:tc>
                <w:tcPr>
                  <w:tcW w:w="916" w:type="pct"/>
                  <w:noWrap w:val="0"/>
                  <w:vAlign w:val="center"/>
                </w:tcPr>
                <w:p w14:paraId="5A09BA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
                      <w:bCs/>
                      <w:color w:val="auto"/>
                      <w:kern w:val="0"/>
                      <w:sz w:val="21"/>
                      <w:szCs w:val="21"/>
                      <w:highlight w:val="none"/>
                      <w:lang w:eastAsia="zh-CN"/>
                    </w:rPr>
                  </w:pPr>
                  <w:r>
                    <w:rPr>
                      <w:rFonts w:hint="eastAsia" w:cs="宋体"/>
                      <w:b/>
                      <w:bCs/>
                      <w:color w:val="auto"/>
                      <w:kern w:val="0"/>
                      <w:sz w:val="21"/>
                      <w:szCs w:val="21"/>
                      <w:highlight w:val="none"/>
                      <w:lang w:eastAsia="zh-CN"/>
                    </w:rPr>
                    <w:t>备注</w:t>
                  </w:r>
                </w:p>
              </w:tc>
            </w:tr>
            <w:tr w14:paraId="0199CD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385" w:type="pct"/>
                  <w:vMerge w:val="restart"/>
                  <w:noWrap w:val="0"/>
                  <w:vAlign w:val="center"/>
                </w:tcPr>
                <w:p w14:paraId="67E90B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
                      <w:bCs/>
                      <w:color w:val="auto"/>
                      <w:kern w:val="0"/>
                      <w:sz w:val="21"/>
                      <w:szCs w:val="21"/>
                      <w:highlight w:val="none"/>
                    </w:rPr>
                  </w:pPr>
                  <w:r>
                    <w:rPr>
                      <w:rFonts w:hint="eastAsia" w:ascii="Times New Roman" w:hAnsi="Times New Roman" w:eastAsia="宋体" w:cs="宋体"/>
                      <w:color w:val="auto"/>
                      <w:kern w:val="0"/>
                      <w:sz w:val="21"/>
                      <w:szCs w:val="21"/>
                      <w:highlight w:val="none"/>
                    </w:rPr>
                    <w:t>主体工程</w:t>
                  </w:r>
                </w:p>
              </w:tc>
              <w:tc>
                <w:tcPr>
                  <w:tcW w:w="939" w:type="pct"/>
                  <w:gridSpan w:val="2"/>
                  <w:noWrap w:val="0"/>
                  <w:vAlign w:val="center"/>
                </w:tcPr>
                <w:p w14:paraId="5FF602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r>
                    <w:rPr>
                      <w:rFonts w:hint="eastAsia" w:ascii="Times New Roman" w:hAnsi="Times New Roman" w:cs="宋体"/>
                      <w:color w:val="auto"/>
                      <w:kern w:val="0"/>
                      <w:sz w:val="21"/>
                      <w:szCs w:val="21"/>
                      <w:highlight w:val="none"/>
                      <w:lang w:val="en-US" w:eastAsia="zh-CN" w:bidi="ar-SA"/>
                    </w:rPr>
                    <w:t>生产车间</w:t>
                  </w:r>
                </w:p>
              </w:tc>
              <w:tc>
                <w:tcPr>
                  <w:tcW w:w="2758" w:type="pct"/>
                  <w:noWrap w:val="0"/>
                  <w:vAlign w:val="center"/>
                </w:tcPr>
                <w:p w14:paraId="06AFA0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依托</w:t>
                  </w:r>
                  <w:r>
                    <w:rPr>
                      <w:rFonts w:hint="eastAsia" w:ascii="Times New Roman" w:hAnsi="Times New Roman" w:cs="宋体"/>
                      <w:color w:val="auto"/>
                      <w:kern w:val="0"/>
                      <w:sz w:val="21"/>
                      <w:szCs w:val="21"/>
                      <w:highlight w:val="none"/>
                      <w:lang w:val="en-US" w:eastAsia="zh-CN" w:bidi="ar-SA"/>
                    </w:rPr>
                    <w:t>现有厂房，厂房高</w:t>
                  </w:r>
                  <w:r>
                    <w:rPr>
                      <w:rFonts w:hint="eastAsia" w:cs="宋体"/>
                      <w:color w:val="auto"/>
                      <w:kern w:val="0"/>
                      <w:sz w:val="21"/>
                      <w:szCs w:val="21"/>
                      <w:highlight w:val="none"/>
                      <w:lang w:val="en-US" w:eastAsia="zh-CN" w:bidi="ar-SA"/>
                    </w:rPr>
                    <w:t>5</w:t>
                  </w:r>
                  <w:r>
                    <w:rPr>
                      <w:rFonts w:hint="eastAsia" w:ascii="Times New Roman" w:hAnsi="Times New Roman" w:cs="宋体"/>
                      <w:color w:val="auto"/>
                      <w:kern w:val="0"/>
                      <w:sz w:val="21"/>
                      <w:szCs w:val="21"/>
                      <w:highlight w:val="none"/>
                      <w:lang w:val="en-US" w:eastAsia="zh-CN" w:bidi="ar-SA"/>
                    </w:rPr>
                    <w:t>m，占地</w:t>
                  </w:r>
                  <w:r>
                    <w:rPr>
                      <w:rFonts w:hint="default" w:ascii="Times New Roman" w:hAnsi="Times New Roman" w:cs="宋体"/>
                      <w:color w:val="auto"/>
                      <w:kern w:val="0"/>
                      <w:sz w:val="21"/>
                      <w:szCs w:val="21"/>
                      <w:highlight w:val="none"/>
                      <w:lang w:val="en-US" w:eastAsia="zh-CN" w:bidi="ar-SA"/>
                    </w:rPr>
                    <w:t>面积</w:t>
                  </w:r>
                  <w:r>
                    <w:rPr>
                      <w:rFonts w:hint="eastAsia" w:ascii="Times New Roman" w:hAnsi="Times New Roman" w:cs="宋体"/>
                      <w:color w:val="auto"/>
                      <w:kern w:val="0"/>
                      <w:sz w:val="21"/>
                      <w:szCs w:val="21"/>
                      <w:highlight w:val="none"/>
                      <w:lang w:val="en-US" w:eastAsia="zh-CN" w:bidi="ar-SA"/>
                    </w:rPr>
                    <w:t>700</w:t>
                  </w:r>
                  <w:r>
                    <w:rPr>
                      <w:rFonts w:hint="default" w:ascii="Times New Roman" w:hAnsi="Times New Roman" w:cs="宋体"/>
                      <w:color w:val="auto"/>
                      <w:kern w:val="0"/>
                      <w:sz w:val="21"/>
                      <w:szCs w:val="21"/>
                      <w:highlight w:val="none"/>
                      <w:lang w:val="en-US" w:eastAsia="zh-CN" w:bidi="ar-SA"/>
                    </w:rPr>
                    <w:t>m</w:t>
                  </w:r>
                  <w:r>
                    <w:rPr>
                      <w:rFonts w:hint="default" w:ascii="Times New Roman" w:hAnsi="Times New Roman" w:cs="宋体"/>
                      <w:color w:val="auto"/>
                      <w:kern w:val="0"/>
                      <w:sz w:val="21"/>
                      <w:szCs w:val="21"/>
                      <w:highlight w:val="none"/>
                      <w:vertAlign w:val="superscript"/>
                      <w:lang w:val="en-US" w:eastAsia="zh-CN" w:bidi="ar-SA"/>
                    </w:rPr>
                    <w:t>2</w:t>
                  </w:r>
                  <w:r>
                    <w:rPr>
                      <w:rFonts w:hint="eastAsia" w:ascii="Times New Roman" w:hAnsi="Times New Roman" w:cs="宋体"/>
                      <w:color w:val="auto"/>
                      <w:kern w:val="0"/>
                      <w:sz w:val="21"/>
                      <w:szCs w:val="21"/>
                      <w:highlight w:val="none"/>
                      <w:lang w:val="en-US" w:eastAsia="zh-CN" w:bidi="ar-SA"/>
                    </w:rPr>
                    <w:t>，1层，</w:t>
                  </w:r>
                  <w:r>
                    <w:rPr>
                      <w:rFonts w:hint="default" w:ascii="Times New Roman" w:hAnsi="Times New Roman" w:cs="宋体"/>
                      <w:color w:val="auto"/>
                      <w:kern w:val="0"/>
                      <w:sz w:val="21"/>
                      <w:szCs w:val="21"/>
                      <w:highlight w:val="none"/>
                      <w:lang w:val="en-US" w:eastAsia="zh-CN" w:bidi="ar-SA"/>
                    </w:rPr>
                    <w:t>主要</w:t>
                  </w:r>
                  <w:r>
                    <w:rPr>
                      <w:rFonts w:hint="eastAsia" w:ascii="Times New Roman" w:hAnsi="Times New Roman" w:cs="宋体"/>
                      <w:color w:val="auto"/>
                      <w:kern w:val="0"/>
                      <w:sz w:val="21"/>
                      <w:szCs w:val="21"/>
                      <w:highlight w:val="none"/>
                      <w:lang w:val="en-US" w:eastAsia="zh-CN" w:bidi="ar-SA"/>
                    </w:rPr>
                    <w:t>布置发酵间、粗滤间、陈酿间、调配间、精滤间、冷冻间，脱醇间、原料</w:t>
                  </w:r>
                  <w:r>
                    <w:rPr>
                      <w:rFonts w:hint="eastAsia" w:cs="宋体"/>
                      <w:color w:val="auto"/>
                      <w:kern w:val="0"/>
                      <w:sz w:val="21"/>
                      <w:szCs w:val="21"/>
                      <w:highlight w:val="none"/>
                      <w:lang w:val="en-US" w:eastAsia="zh-CN" w:bidi="ar-SA"/>
                    </w:rPr>
                    <w:t>精选</w:t>
                  </w:r>
                  <w:r>
                    <w:rPr>
                      <w:rFonts w:hint="eastAsia" w:ascii="Times New Roman" w:hAnsi="Times New Roman" w:cs="宋体"/>
                      <w:color w:val="auto"/>
                      <w:kern w:val="0"/>
                      <w:sz w:val="21"/>
                      <w:szCs w:val="21"/>
                      <w:highlight w:val="none"/>
                      <w:lang w:val="en-US" w:eastAsia="zh-CN" w:bidi="ar-SA"/>
                    </w:rPr>
                    <w:t>间、原料暂存间等</w:t>
                  </w:r>
                  <w:r>
                    <w:rPr>
                      <w:rFonts w:hint="eastAsia" w:cs="宋体"/>
                      <w:color w:val="auto"/>
                      <w:kern w:val="0"/>
                      <w:sz w:val="21"/>
                      <w:szCs w:val="21"/>
                      <w:highlight w:val="none"/>
                      <w:lang w:val="en-US" w:eastAsia="zh-CN" w:bidi="ar-SA"/>
                    </w:rPr>
                    <w:t>以及相关设备</w:t>
                  </w:r>
                  <w:r>
                    <w:rPr>
                      <w:rFonts w:hint="default" w:ascii="Times New Roman" w:hAnsi="Times New Roman" w:cs="宋体"/>
                      <w:color w:val="auto"/>
                      <w:kern w:val="0"/>
                      <w:sz w:val="21"/>
                      <w:szCs w:val="21"/>
                      <w:highlight w:val="none"/>
                      <w:lang w:val="en-US" w:eastAsia="zh-CN" w:bidi="ar-SA"/>
                    </w:rPr>
                    <w:t>。</w:t>
                  </w:r>
                </w:p>
              </w:tc>
              <w:tc>
                <w:tcPr>
                  <w:tcW w:w="916" w:type="pct"/>
                  <w:noWrap w:val="0"/>
                  <w:vAlign w:val="center"/>
                </w:tcPr>
                <w:p w14:paraId="1FC0E5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发酵酒生产线已建成，脱醇酒利用已建厂房，</w:t>
                  </w:r>
                  <w:r>
                    <w:rPr>
                      <w:rFonts w:hint="eastAsia" w:cs="Times New Roman"/>
                      <w:color w:val="FF0000"/>
                      <w:sz w:val="21"/>
                      <w:szCs w:val="21"/>
                      <w:lang w:val="en-US" w:eastAsia="zh-CN"/>
                    </w:rPr>
                    <w:t>设备待安装</w:t>
                  </w:r>
                </w:p>
              </w:tc>
            </w:tr>
            <w:tr w14:paraId="2383B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385" w:type="pct"/>
                  <w:vMerge w:val="continue"/>
                  <w:noWrap w:val="0"/>
                  <w:vAlign w:val="center"/>
                </w:tcPr>
                <w:p w14:paraId="13E43E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bookmarkStart w:id="13" w:name="OLE_LINK2" w:colFirst="1" w:colLast="1"/>
                </w:p>
              </w:tc>
              <w:tc>
                <w:tcPr>
                  <w:tcW w:w="939" w:type="pct"/>
                  <w:gridSpan w:val="2"/>
                  <w:noWrap w:val="0"/>
                  <w:vAlign w:val="center"/>
                </w:tcPr>
                <w:p w14:paraId="633368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r>
                    <w:rPr>
                      <w:rFonts w:hint="eastAsia" w:ascii="Times New Roman" w:hAnsi="Times New Roman" w:cs="宋体"/>
                      <w:color w:val="auto"/>
                      <w:kern w:val="0"/>
                      <w:sz w:val="21"/>
                      <w:szCs w:val="21"/>
                      <w:highlight w:val="none"/>
                      <w:lang w:val="en-US" w:eastAsia="zh-CN" w:bidi="ar-SA"/>
                    </w:rPr>
                    <w:t>灌装车间</w:t>
                  </w:r>
                </w:p>
              </w:tc>
              <w:tc>
                <w:tcPr>
                  <w:tcW w:w="2758" w:type="pct"/>
                  <w:noWrap w:val="0"/>
                  <w:vAlign w:val="center"/>
                </w:tcPr>
                <w:p w14:paraId="673319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r>
                    <w:rPr>
                      <w:rFonts w:hint="eastAsia" w:ascii="Times New Roman" w:hAnsi="Times New Roman" w:cs="宋体"/>
                      <w:color w:val="auto"/>
                      <w:kern w:val="0"/>
                      <w:sz w:val="21"/>
                      <w:szCs w:val="21"/>
                      <w:highlight w:val="none"/>
                      <w:lang w:val="en-US" w:eastAsia="zh-CN" w:bidi="ar-SA"/>
                    </w:rPr>
                    <w:t>位于生产车间东北侧，灌装设备置于2层，</w:t>
                  </w:r>
                  <w:r>
                    <w:rPr>
                      <w:rFonts w:hint="eastAsia" w:cs="宋体"/>
                      <w:color w:val="auto"/>
                      <w:kern w:val="0"/>
                      <w:sz w:val="21"/>
                      <w:szCs w:val="21"/>
                      <w:highlight w:val="none"/>
                      <w:lang w:val="en-US" w:eastAsia="zh-CN" w:bidi="ar-SA"/>
                    </w:rPr>
                    <w:t>1层闲置，</w:t>
                  </w:r>
                  <w:r>
                    <w:rPr>
                      <w:rFonts w:hint="eastAsia" w:ascii="Times New Roman" w:hAnsi="Times New Roman" w:cs="宋体"/>
                      <w:color w:val="auto"/>
                      <w:kern w:val="0"/>
                      <w:sz w:val="21"/>
                      <w:szCs w:val="21"/>
                      <w:highlight w:val="none"/>
                      <w:lang w:val="en-US" w:eastAsia="zh-CN" w:bidi="ar-SA"/>
                    </w:rPr>
                    <w:t>高度为</w:t>
                  </w:r>
                  <w:r>
                    <w:rPr>
                      <w:rFonts w:hint="eastAsia" w:cs="宋体"/>
                      <w:color w:val="auto"/>
                      <w:kern w:val="0"/>
                      <w:sz w:val="21"/>
                      <w:szCs w:val="21"/>
                      <w:highlight w:val="none"/>
                      <w:lang w:val="en-US" w:eastAsia="zh-CN" w:bidi="ar-SA"/>
                    </w:rPr>
                    <w:t>5m，占地面积为340</w:t>
                  </w:r>
                  <w:r>
                    <w:rPr>
                      <w:rFonts w:hint="default" w:ascii="Times New Roman" w:hAnsi="Times New Roman" w:cs="宋体"/>
                      <w:color w:val="auto"/>
                      <w:kern w:val="0"/>
                      <w:sz w:val="21"/>
                      <w:szCs w:val="21"/>
                      <w:highlight w:val="none"/>
                      <w:lang w:val="en-US" w:eastAsia="zh-CN" w:bidi="ar-SA"/>
                    </w:rPr>
                    <w:t>m</w:t>
                  </w:r>
                  <w:r>
                    <w:rPr>
                      <w:rFonts w:hint="default" w:ascii="Times New Roman" w:hAnsi="Times New Roman" w:cs="宋体"/>
                      <w:color w:val="auto"/>
                      <w:kern w:val="0"/>
                      <w:sz w:val="21"/>
                      <w:szCs w:val="21"/>
                      <w:highlight w:val="none"/>
                      <w:vertAlign w:val="superscript"/>
                      <w:lang w:val="en-US" w:eastAsia="zh-CN" w:bidi="ar-SA"/>
                    </w:rPr>
                    <w:t>2</w:t>
                  </w:r>
                  <w:r>
                    <w:rPr>
                      <w:rFonts w:hint="eastAsia" w:cs="宋体"/>
                      <w:color w:val="auto"/>
                      <w:kern w:val="0"/>
                      <w:sz w:val="21"/>
                      <w:szCs w:val="21"/>
                      <w:highlight w:val="none"/>
                      <w:lang w:val="en-US" w:eastAsia="zh-CN" w:bidi="ar-SA"/>
                    </w:rPr>
                    <w:t>，配备灌装机、自动打塞机等设备。</w:t>
                  </w:r>
                </w:p>
              </w:tc>
              <w:tc>
                <w:tcPr>
                  <w:tcW w:w="916" w:type="pct"/>
                  <w:noWrap w:val="0"/>
                  <w:vAlign w:val="center"/>
                </w:tcPr>
                <w:p w14:paraId="1F40D6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依托已建厂房，</w:t>
                  </w:r>
                  <w:r>
                    <w:rPr>
                      <w:rFonts w:hint="eastAsia" w:cs="Times New Roman"/>
                      <w:color w:val="FF0000"/>
                      <w:sz w:val="21"/>
                      <w:szCs w:val="21"/>
                      <w:lang w:val="en-US" w:eastAsia="zh-CN"/>
                    </w:rPr>
                    <w:t>设备已进场</w:t>
                  </w:r>
                </w:p>
              </w:tc>
            </w:tr>
            <w:tr w14:paraId="70E765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385" w:type="pct"/>
                  <w:vMerge w:val="continue"/>
                  <w:noWrap w:val="0"/>
                  <w:vAlign w:val="center"/>
                </w:tcPr>
                <w:p w14:paraId="3258E3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p>
              </w:tc>
              <w:tc>
                <w:tcPr>
                  <w:tcW w:w="939" w:type="pct"/>
                  <w:gridSpan w:val="2"/>
                  <w:noWrap w:val="0"/>
                  <w:vAlign w:val="center"/>
                </w:tcPr>
                <w:p w14:paraId="20B40B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宋体"/>
                      <w:color w:val="auto"/>
                      <w:kern w:val="0"/>
                      <w:sz w:val="21"/>
                      <w:szCs w:val="21"/>
                      <w:highlight w:val="none"/>
                      <w:lang w:val="en-US" w:eastAsia="zh-CN" w:bidi="ar-SA"/>
                    </w:rPr>
                  </w:pPr>
                  <w:r>
                    <w:rPr>
                      <w:rFonts w:hint="eastAsia" w:cs="宋体"/>
                      <w:color w:val="auto"/>
                      <w:kern w:val="0"/>
                      <w:sz w:val="21"/>
                      <w:szCs w:val="21"/>
                      <w:highlight w:val="none"/>
                      <w:lang w:val="en-US" w:eastAsia="zh-CN"/>
                    </w:rPr>
                    <w:t>灭菌间</w:t>
                  </w:r>
                </w:p>
              </w:tc>
              <w:tc>
                <w:tcPr>
                  <w:tcW w:w="2758" w:type="pct"/>
                  <w:noWrap w:val="0"/>
                  <w:vAlign w:val="center"/>
                </w:tcPr>
                <w:p w14:paraId="1821FA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位于灌装车间北侧，占地面积为18</w:t>
                  </w:r>
                  <w:r>
                    <w:rPr>
                      <w:rFonts w:hint="default" w:ascii="Times New Roman" w:hAnsi="Times New Roman" w:cs="宋体"/>
                      <w:color w:val="auto"/>
                      <w:kern w:val="0"/>
                      <w:sz w:val="21"/>
                      <w:szCs w:val="21"/>
                      <w:highlight w:val="none"/>
                      <w:lang w:val="en-US" w:eastAsia="zh-CN" w:bidi="ar-SA"/>
                    </w:rPr>
                    <w:t>m</w:t>
                  </w:r>
                  <w:r>
                    <w:rPr>
                      <w:rFonts w:hint="default" w:ascii="Times New Roman" w:hAnsi="Times New Roman" w:cs="宋体"/>
                      <w:color w:val="auto"/>
                      <w:kern w:val="0"/>
                      <w:sz w:val="21"/>
                      <w:szCs w:val="21"/>
                      <w:highlight w:val="none"/>
                      <w:vertAlign w:val="superscript"/>
                      <w:lang w:val="en-US" w:eastAsia="zh-CN" w:bidi="ar-SA"/>
                    </w:rPr>
                    <w:t>2</w:t>
                  </w:r>
                  <w:r>
                    <w:rPr>
                      <w:rFonts w:hint="eastAsia" w:cs="宋体"/>
                      <w:color w:val="auto"/>
                      <w:kern w:val="0"/>
                      <w:sz w:val="21"/>
                      <w:szCs w:val="21"/>
                      <w:highlight w:val="none"/>
                      <w:lang w:val="en-US" w:eastAsia="zh-CN" w:bidi="ar-SA"/>
                    </w:rPr>
                    <w:t>，配备1套智能电加热蒸汽发生器、2套超高温瞬时灭菌机以及2台周转罐。</w:t>
                  </w:r>
                </w:p>
              </w:tc>
              <w:tc>
                <w:tcPr>
                  <w:tcW w:w="916" w:type="pct"/>
                  <w:noWrap w:val="0"/>
                  <w:vAlign w:val="center"/>
                </w:tcPr>
                <w:p w14:paraId="4E1A32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依托已建厂房，设备待入场</w:t>
                  </w:r>
                </w:p>
              </w:tc>
            </w:tr>
            <w:tr w14:paraId="4EBBE6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5" w:type="pct"/>
                  <w:vMerge w:val="restart"/>
                  <w:noWrap w:val="0"/>
                  <w:vAlign w:val="center"/>
                </w:tcPr>
                <w:p w14:paraId="7CA609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r>
                    <w:rPr>
                      <w:rFonts w:hint="eastAsia" w:ascii="Times New Roman" w:hAnsi="Times New Roman" w:eastAsia="宋体" w:cs="宋体"/>
                      <w:color w:val="auto"/>
                      <w:kern w:val="0"/>
                      <w:sz w:val="21"/>
                      <w:szCs w:val="21"/>
                      <w:highlight w:val="none"/>
                    </w:rPr>
                    <w:t>辅助</w:t>
                  </w:r>
                </w:p>
                <w:p w14:paraId="65D27D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r>
                    <w:rPr>
                      <w:rFonts w:hint="eastAsia" w:ascii="Times New Roman" w:hAnsi="Times New Roman" w:eastAsia="宋体" w:cs="宋体"/>
                      <w:color w:val="auto"/>
                      <w:kern w:val="0"/>
                      <w:sz w:val="21"/>
                      <w:szCs w:val="21"/>
                      <w:highlight w:val="none"/>
                    </w:rPr>
                    <w:t>工程</w:t>
                  </w:r>
                </w:p>
              </w:tc>
              <w:tc>
                <w:tcPr>
                  <w:tcW w:w="939" w:type="pct"/>
                  <w:gridSpan w:val="2"/>
                  <w:noWrap w:val="0"/>
                  <w:vAlign w:val="center"/>
                </w:tcPr>
                <w:p w14:paraId="33D860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rPr>
                    <w:t>化验室</w:t>
                  </w:r>
                </w:p>
              </w:tc>
              <w:tc>
                <w:tcPr>
                  <w:tcW w:w="2758" w:type="pct"/>
                  <w:noWrap w:val="0"/>
                  <w:vAlign w:val="center"/>
                </w:tcPr>
                <w:p w14:paraId="17DC48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依托现有厂房，</w:t>
                  </w:r>
                  <w:r>
                    <w:rPr>
                      <w:rFonts w:hint="eastAsia" w:ascii="Times New Roman" w:hAnsi="Times New Roman" w:eastAsia="宋体" w:cs="Times New Roman"/>
                      <w:color w:val="auto"/>
                      <w:kern w:val="2"/>
                      <w:sz w:val="21"/>
                      <w:szCs w:val="21"/>
                      <w:highlight w:val="none"/>
                      <w:lang w:val="en-US" w:eastAsia="zh-CN" w:bidi="ar-SA"/>
                    </w:rPr>
                    <w:t>位于生产车间</w:t>
                  </w:r>
                  <w:r>
                    <w:rPr>
                      <w:rFonts w:hint="eastAsia" w:ascii="Times New Roman" w:hAnsi="Times New Roman" w:cs="Times New Roman"/>
                      <w:color w:val="auto"/>
                      <w:kern w:val="2"/>
                      <w:sz w:val="21"/>
                      <w:szCs w:val="21"/>
                      <w:highlight w:val="none"/>
                      <w:lang w:val="en-US" w:eastAsia="zh-CN" w:bidi="ar-SA"/>
                    </w:rPr>
                    <w:t>西北侧</w:t>
                  </w:r>
                  <w:r>
                    <w:rPr>
                      <w:rFonts w:hint="eastAsia" w:ascii="Times New Roman" w:hAnsi="Times New Roman" w:eastAsia="宋体" w:cs="Times New Roman"/>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bidi="ar-SA"/>
                    </w:rPr>
                    <w:t>楼层高度为2层，化验室位于1F，</w:t>
                  </w:r>
                  <w:r>
                    <w:rPr>
                      <w:rFonts w:hint="eastAsia" w:ascii="Times New Roman" w:hAnsi="Times New Roman" w:eastAsia="宋体" w:cs="Times New Roman"/>
                      <w:color w:val="auto"/>
                      <w:kern w:val="2"/>
                      <w:sz w:val="21"/>
                      <w:szCs w:val="21"/>
                      <w:highlight w:val="none"/>
                      <w:lang w:val="en-US" w:eastAsia="zh-CN" w:bidi="ar-SA"/>
                    </w:rPr>
                    <w:t>占地面积</w:t>
                  </w:r>
                  <w:r>
                    <w:rPr>
                      <w:rFonts w:hint="eastAsia" w:cs="Times New Roman"/>
                      <w:color w:val="auto"/>
                      <w:kern w:val="2"/>
                      <w:sz w:val="21"/>
                      <w:szCs w:val="21"/>
                      <w:highlight w:val="none"/>
                      <w:lang w:val="en-US" w:eastAsia="zh-CN" w:bidi="ar-SA"/>
                    </w:rPr>
                    <w:t>4</w:t>
                  </w:r>
                  <w:r>
                    <w:rPr>
                      <w:rFonts w:hint="eastAsia" w:ascii="Times New Roman" w:hAnsi="Times New Roman" w:eastAsia="宋体" w:cs="Times New Roman"/>
                      <w:color w:val="auto"/>
                      <w:kern w:val="2"/>
                      <w:sz w:val="21"/>
                      <w:szCs w:val="21"/>
                      <w:highlight w:val="none"/>
                      <w:lang w:val="en-US" w:eastAsia="zh-CN" w:bidi="ar-SA"/>
                    </w:rPr>
                    <w:t>0m</w:t>
                  </w:r>
                  <w:r>
                    <w:rPr>
                      <w:rFonts w:hint="eastAsia" w:ascii="Times New Roman" w:hAnsi="Times New Roman" w:eastAsia="宋体" w:cs="Times New Roman"/>
                      <w:color w:val="auto"/>
                      <w:kern w:val="2"/>
                      <w:sz w:val="21"/>
                      <w:szCs w:val="21"/>
                      <w:highlight w:val="none"/>
                      <w:vertAlign w:val="superscript"/>
                      <w:lang w:val="en-US" w:eastAsia="zh-CN" w:bidi="ar-SA"/>
                    </w:rPr>
                    <w:t>2</w:t>
                  </w:r>
                  <w:r>
                    <w:rPr>
                      <w:rFonts w:hint="eastAsia" w:ascii="Times New Roman" w:hAnsi="Times New Roman" w:cs="Times New Roman"/>
                      <w:color w:val="auto"/>
                      <w:kern w:val="2"/>
                      <w:sz w:val="21"/>
                      <w:szCs w:val="21"/>
                      <w:highlight w:val="none"/>
                      <w:lang w:val="en-US" w:eastAsia="zh-CN" w:bidi="ar-SA"/>
                    </w:rPr>
                    <w:t>，</w:t>
                  </w:r>
                  <w:r>
                    <w:rPr>
                      <w:rFonts w:hint="eastAsia"/>
                      <w:color w:val="auto"/>
                      <w:kern w:val="2"/>
                      <w:sz w:val="21"/>
                      <w:szCs w:val="21"/>
                      <w:highlight w:val="none"/>
                      <w:lang w:eastAsia="zh-CN"/>
                    </w:rPr>
                    <w:t>新增化验设备及仪器</w:t>
                  </w:r>
                </w:p>
              </w:tc>
              <w:tc>
                <w:tcPr>
                  <w:tcW w:w="916" w:type="pct"/>
                  <w:noWrap w:val="0"/>
                  <w:vAlign w:val="center"/>
                </w:tcPr>
                <w:p w14:paraId="6373A6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依托已建厂房，设备待入场</w:t>
                  </w:r>
                </w:p>
              </w:tc>
            </w:tr>
            <w:tr w14:paraId="1EB71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5" w:type="pct"/>
                  <w:vMerge w:val="continue"/>
                  <w:noWrap w:val="0"/>
                  <w:vAlign w:val="center"/>
                </w:tcPr>
                <w:p w14:paraId="77442E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p>
              </w:tc>
              <w:tc>
                <w:tcPr>
                  <w:tcW w:w="939" w:type="pct"/>
                  <w:gridSpan w:val="2"/>
                  <w:noWrap w:val="0"/>
                  <w:vAlign w:val="center"/>
                </w:tcPr>
                <w:p w14:paraId="66AE82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rPr>
                    <w:t>水处理间</w:t>
                  </w:r>
                </w:p>
              </w:tc>
              <w:tc>
                <w:tcPr>
                  <w:tcW w:w="2758" w:type="pct"/>
                  <w:noWrap w:val="0"/>
                  <w:vAlign w:val="center"/>
                </w:tcPr>
                <w:p w14:paraId="6841F0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依托现有厂房，</w:t>
                  </w:r>
                  <w:r>
                    <w:rPr>
                      <w:rFonts w:hint="eastAsia" w:ascii="Times New Roman" w:hAnsi="Times New Roman" w:eastAsia="宋体" w:cs="Times New Roman"/>
                      <w:color w:val="auto"/>
                      <w:kern w:val="2"/>
                      <w:sz w:val="21"/>
                      <w:szCs w:val="21"/>
                      <w:highlight w:val="none"/>
                      <w:lang w:val="en-US" w:eastAsia="zh-CN" w:bidi="ar-SA"/>
                    </w:rPr>
                    <w:t>位于</w:t>
                  </w:r>
                  <w:r>
                    <w:rPr>
                      <w:rFonts w:hint="eastAsia" w:cs="Times New Roman"/>
                      <w:color w:val="auto"/>
                      <w:kern w:val="2"/>
                      <w:sz w:val="21"/>
                      <w:szCs w:val="21"/>
                      <w:highlight w:val="none"/>
                      <w:lang w:val="en-US" w:eastAsia="zh-CN" w:bidi="ar-SA"/>
                    </w:rPr>
                    <w:t>化验室</w:t>
                  </w:r>
                  <w:r>
                    <w:rPr>
                      <w:rFonts w:hint="eastAsia" w:ascii="Times New Roman" w:hAnsi="Times New Roman" w:cs="Times New Roman"/>
                      <w:color w:val="auto"/>
                      <w:kern w:val="2"/>
                      <w:sz w:val="21"/>
                      <w:szCs w:val="21"/>
                      <w:highlight w:val="none"/>
                      <w:lang w:val="en-US" w:eastAsia="zh-CN" w:bidi="ar-SA"/>
                    </w:rPr>
                    <w:t>北侧</w:t>
                  </w:r>
                  <w:r>
                    <w:rPr>
                      <w:rFonts w:hint="eastAsia" w:ascii="Times New Roman" w:hAnsi="Times New Roman" w:eastAsia="宋体" w:cs="Times New Roman"/>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bidi="ar-SA"/>
                    </w:rPr>
                    <w:t>楼层高度为2层，水处理间位于1F，</w:t>
                  </w:r>
                  <w:r>
                    <w:rPr>
                      <w:rFonts w:hint="eastAsia" w:ascii="Times New Roman" w:hAnsi="Times New Roman" w:eastAsia="宋体" w:cs="Times New Roman"/>
                      <w:color w:val="auto"/>
                      <w:kern w:val="2"/>
                      <w:sz w:val="21"/>
                      <w:szCs w:val="21"/>
                      <w:highlight w:val="none"/>
                      <w:lang w:val="en-US" w:eastAsia="zh-CN" w:bidi="ar-SA"/>
                    </w:rPr>
                    <w:t>占地面积</w:t>
                  </w:r>
                  <w:r>
                    <w:rPr>
                      <w:rFonts w:hint="eastAsia" w:cs="Times New Roman"/>
                      <w:color w:val="auto"/>
                      <w:kern w:val="2"/>
                      <w:sz w:val="21"/>
                      <w:szCs w:val="21"/>
                      <w:highlight w:val="none"/>
                      <w:lang w:val="en-US" w:eastAsia="zh-CN" w:bidi="ar-SA"/>
                    </w:rPr>
                    <w:t>5</w:t>
                  </w:r>
                  <w:r>
                    <w:rPr>
                      <w:rFonts w:hint="eastAsia" w:ascii="Times New Roman" w:hAnsi="Times New Roman" w:eastAsia="宋体" w:cs="Times New Roman"/>
                      <w:color w:val="auto"/>
                      <w:kern w:val="2"/>
                      <w:sz w:val="21"/>
                      <w:szCs w:val="21"/>
                      <w:highlight w:val="none"/>
                      <w:lang w:val="en-US" w:eastAsia="zh-CN" w:bidi="ar-SA"/>
                    </w:rPr>
                    <w:t>0m</w:t>
                  </w:r>
                  <w:r>
                    <w:rPr>
                      <w:rFonts w:hint="eastAsia" w:ascii="Times New Roman" w:hAnsi="Times New Roman" w:eastAsia="宋体" w:cs="Times New Roman"/>
                      <w:color w:val="auto"/>
                      <w:kern w:val="2"/>
                      <w:sz w:val="21"/>
                      <w:szCs w:val="21"/>
                      <w:highlight w:val="none"/>
                      <w:vertAlign w:val="superscript"/>
                      <w:lang w:val="en-US" w:eastAsia="zh-CN" w:bidi="ar-SA"/>
                    </w:rPr>
                    <w:t>2</w:t>
                  </w:r>
                  <w:r>
                    <w:rPr>
                      <w:rFonts w:hint="eastAsia" w:ascii="Times New Roman" w:hAnsi="Times New Roman" w:cs="Times New Roman"/>
                      <w:color w:val="auto"/>
                      <w:kern w:val="2"/>
                      <w:sz w:val="21"/>
                      <w:szCs w:val="21"/>
                      <w:highlight w:val="none"/>
                      <w:lang w:val="en-US" w:eastAsia="zh-CN" w:bidi="ar-SA"/>
                    </w:rPr>
                    <w:t>，</w:t>
                  </w:r>
                  <w:r>
                    <w:rPr>
                      <w:rFonts w:hint="eastAsia"/>
                      <w:color w:val="auto"/>
                      <w:kern w:val="2"/>
                      <w:sz w:val="21"/>
                      <w:szCs w:val="21"/>
                      <w:highlight w:val="none"/>
                      <w:lang w:eastAsia="zh-CN"/>
                    </w:rPr>
                    <w:t>新增</w:t>
                  </w:r>
                  <w:r>
                    <w:rPr>
                      <w:rFonts w:hint="eastAsia"/>
                      <w:color w:val="auto"/>
                      <w:kern w:val="2"/>
                      <w:sz w:val="21"/>
                      <w:szCs w:val="21"/>
                      <w:highlight w:val="none"/>
                      <w:lang w:val="en-US" w:eastAsia="zh-CN"/>
                    </w:rPr>
                    <w:t>1套水处理设备。</w:t>
                  </w:r>
                </w:p>
              </w:tc>
              <w:tc>
                <w:tcPr>
                  <w:tcW w:w="916" w:type="pct"/>
                  <w:noWrap w:val="0"/>
                  <w:vAlign w:val="center"/>
                </w:tcPr>
                <w:p w14:paraId="5EEE50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依托已建厂房，设备待入场</w:t>
                  </w:r>
                </w:p>
              </w:tc>
            </w:tr>
            <w:tr w14:paraId="6A617B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85" w:type="pct"/>
                  <w:vMerge w:val="continue"/>
                  <w:noWrap w:val="0"/>
                  <w:vAlign w:val="center"/>
                </w:tcPr>
                <w:p w14:paraId="595DF8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p>
              </w:tc>
              <w:tc>
                <w:tcPr>
                  <w:tcW w:w="939" w:type="pct"/>
                  <w:gridSpan w:val="2"/>
                  <w:noWrap w:val="0"/>
                  <w:vAlign w:val="center"/>
                </w:tcPr>
                <w:p w14:paraId="5A5D06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rPr>
                    <w:t>快递间</w:t>
                  </w:r>
                </w:p>
              </w:tc>
              <w:tc>
                <w:tcPr>
                  <w:tcW w:w="2758" w:type="pct"/>
                  <w:noWrap w:val="0"/>
                  <w:vAlign w:val="center"/>
                </w:tcPr>
                <w:p w14:paraId="651182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依托现有办公用房，位于</w:t>
                  </w:r>
                  <w:r>
                    <w:rPr>
                      <w:rFonts w:hint="eastAsia" w:cs="宋体"/>
                      <w:color w:val="auto"/>
                      <w:kern w:val="0"/>
                      <w:sz w:val="21"/>
                      <w:szCs w:val="21"/>
                      <w:highlight w:val="none"/>
                      <w:lang w:val="en-US" w:eastAsia="zh-CN"/>
                    </w:rPr>
                    <w:t>水处理间北侧，</w:t>
                  </w:r>
                  <w:r>
                    <w:rPr>
                      <w:rFonts w:hint="eastAsia" w:ascii="Times New Roman" w:hAnsi="Times New Roman" w:cs="Times New Roman"/>
                      <w:color w:val="auto"/>
                      <w:kern w:val="2"/>
                      <w:sz w:val="21"/>
                      <w:szCs w:val="21"/>
                      <w:highlight w:val="none"/>
                      <w:lang w:val="en-US" w:eastAsia="zh-CN" w:bidi="ar-SA"/>
                    </w:rPr>
                    <w:t>楼层高度为2层，</w:t>
                  </w:r>
                  <w:r>
                    <w:rPr>
                      <w:rFonts w:hint="eastAsia" w:cs="宋体"/>
                      <w:color w:val="auto"/>
                      <w:kern w:val="0"/>
                      <w:sz w:val="21"/>
                      <w:szCs w:val="21"/>
                      <w:highlight w:val="none"/>
                      <w:lang w:val="en-US" w:eastAsia="zh-CN"/>
                    </w:rPr>
                    <w:t>快递间</w:t>
                  </w:r>
                  <w:r>
                    <w:rPr>
                      <w:rFonts w:hint="eastAsia" w:ascii="Times New Roman" w:hAnsi="Times New Roman" w:cs="Times New Roman"/>
                      <w:color w:val="auto"/>
                      <w:kern w:val="2"/>
                      <w:sz w:val="21"/>
                      <w:szCs w:val="21"/>
                      <w:highlight w:val="none"/>
                      <w:lang w:val="en-US" w:eastAsia="zh-CN" w:bidi="ar-SA"/>
                    </w:rPr>
                    <w:t>位于1F，</w:t>
                  </w:r>
                  <w:r>
                    <w:rPr>
                      <w:rFonts w:hint="eastAsia" w:ascii="Times New Roman" w:hAnsi="Times New Roman" w:eastAsia="宋体" w:cs="Times New Roman"/>
                      <w:color w:val="auto"/>
                      <w:kern w:val="2"/>
                      <w:sz w:val="21"/>
                      <w:szCs w:val="21"/>
                      <w:highlight w:val="none"/>
                      <w:lang w:val="en-US" w:eastAsia="zh-CN" w:bidi="ar-SA"/>
                    </w:rPr>
                    <w:t>占地面积</w:t>
                  </w:r>
                  <w:r>
                    <w:rPr>
                      <w:rFonts w:hint="eastAsia" w:cs="Times New Roman"/>
                      <w:color w:val="auto"/>
                      <w:kern w:val="2"/>
                      <w:sz w:val="21"/>
                      <w:szCs w:val="21"/>
                      <w:highlight w:val="none"/>
                      <w:lang w:val="en-US" w:eastAsia="zh-CN" w:bidi="ar-SA"/>
                    </w:rPr>
                    <w:t>35</w:t>
                  </w:r>
                  <w:r>
                    <w:rPr>
                      <w:rFonts w:hint="eastAsia" w:ascii="Times New Roman" w:hAnsi="Times New Roman" w:eastAsia="宋体" w:cs="Times New Roman"/>
                      <w:color w:val="auto"/>
                      <w:kern w:val="2"/>
                      <w:sz w:val="21"/>
                      <w:szCs w:val="21"/>
                      <w:highlight w:val="none"/>
                      <w:lang w:val="en-US" w:eastAsia="zh-CN" w:bidi="ar-SA"/>
                    </w:rPr>
                    <w:t>m</w:t>
                  </w:r>
                  <w:r>
                    <w:rPr>
                      <w:rFonts w:hint="eastAsia" w:ascii="Times New Roman" w:hAnsi="Times New Roman" w:eastAsia="宋体" w:cs="Times New Roman"/>
                      <w:color w:val="auto"/>
                      <w:kern w:val="2"/>
                      <w:sz w:val="21"/>
                      <w:szCs w:val="21"/>
                      <w:highlight w:val="none"/>
                      <w:vertAlign w:val="superscript"/>
                      <w:lang w:val="en-US" w:eastAsia="zh-CN" w:bidi="ar-SA"/>
                    </w:rPr>
                    <w:t>2</w:t>
                  </w:r>
                  <w:r>
                    <w:rPr>
                      <w:rFonts w:hint="eastAsia" w:ascii="Times New Roman" w:hAnsi="Times New Roman" w:cs="Times New Roman"/>
                      <w:color w:val="auto"/>
                      <w:kern w:val="2"/>
                      <w:sz w:val="21"/>
                      <w:szCs w:val="21"/>
                      <w:highlight w:val="none"/>
                      <w:lang w:val="en-US" w:eastAsia="zh-CN" w:bidi="ar-SA"/>
                    </w:rPr>
                    <w:t>，</w:t>
                  </w:r>
                  <w:r>
                    <w:rPr>
                      <w:rFonts w:hint="eastAsia" w:cs="Times New Roman"/>
                      <w:color w:val="auto"/>
                      <w:kern w:val="2"/>
                      <w:sz w:val="21"/>
                      <w:szCs w:val="21"/>
                      <w:highlight w:val="none"/>
                      <w:lang w:val="en-US" w:eastAsia="zh-CN" w:bidi="ar-SA"/>
                    </w:rPr>
                    <w:t>主要用于处理快递寄发业务。</w:t>
                  </w:r>
                </w:p>
              </w:tc>
              <w:tc>
                <w:tcPr>
                  <w:tcW w:w="916" w:type="pct"/>
                  <w:noWrap w:val="0"/>
                  <w:vAlign w:val="center"/>
                </w:tcPr>
                <w:p w14:paraId="49B166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已建</w:t>
                  </w:r>
                </w:p>
              </w:tc>
            </w:tr>
            <w:tr w14:paraId="664E64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5" w:type="pct"/>
                  <w:vMerge w:val="continue"/>
                  <w:noWrap w:val="0"/>
                  <w:vAlign w:val="center"/>
                </w:tcPr>
                <w:p w14:paraId="72596E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p>
              </w:tc>
              <w:tc>
                <w:tcPr>
                  <w:tcW w:w="939" w:type="pct"/>
                  <w:gridSpan w:val="2"/>
                  <w:noWrap w:val="0"/>
                  <w:vAlign w:val="center"/>
                </w:tcPr>
                <w:p w14:paraId="13CC5D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rPr>
                    <w:t>成品库</w:t>
                  </w:r>
                </w:p>
              </w:tc>
              <w:tc>
                <w:tcPr>
                  <w:tcW w:w="2758" w:type="pct"/>
                  <w:noWrap w:val="0"/>
                  <w:vAlign w:val="center"/>
                </w:tcPr>
                <w:p w14:paraId="59304E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依托现有办公用房，位于</w:t>
                  </w:r>
                  <w:r>
                    <w:rPr>
                      <w:rFonts w:hint="eastAsia" w:cs="宋体"/>
                      <w:color w:val="auto"/>
                      <w:kern w:val="0"/>
                      <w:sz w:val="21"/>
                      <w:szCs w:val="21"/>
                      <w:highlight w:val="none"/>
                      <w:lang w:val="en-US" w:eastAsia="zh-CN"/>
                    </w:rPr>
                    <w:t>快递间北侧，</w:t>
                  </w:r>
                  <w:r>
                    <w:rPr>
                      <w:rFonts w:hint="eastAsia" w:ascii="Times New Roman" w:hAnsi="Times New Roman" w:cs="Times New Roman"/>
                      <w:color w:val="auto"/>
                      <w:kern w:val="2"/>
                      <w:sz w:val="21"/>
                      <w:szCs w:val="21"/>
                      <w:highlight w:val="none"/>
                      <w:lang w:val="en-US" w:eastAsia="zh-CN" w:bidi="ar-SA"/>
                    </w:rPr>
                    <w:t>楼层高度为2层，</w:t>
                  </w:r>
                  <w:r>
                    <w:rPr>
                      <w:rFonts w:hint="eastAsia" w:cs="Times New Roman"/>
                      <w:color w:val="auto"/>
                      <w:kern w:val="2"/>
                      <w:sz w:val="21"/>
                      <w:szCs w:val="21"/>
                      <w:highlight w:val="none"/>
                      <w:lang w:val="en-US" w:eastAsia="zh-CN" w:bidi="ar-SA"/>
                    </w:rPr>
                    <w:t>成品库</w:t>
                  </w:r>
                  <w:r>
                    <w:rPr>
                      <w:rFonts w:hint="eastAsia" w:ascii="Times New Roman" w:hAnsi="Times New Roman" w:cs="Times New Roman"/>
                      <w:color w:val="auto"/>
                      <w:kern w:val="2"/>
                      <w:sz w:val="21"/>
                      <w:szCs w:val="21"/>
                      <w:highlight w:val="none"/>
                      <w:lang w:val="en-US" w:eastAsia="zh-CN" w:bidi="ar-SA"/>
                    </w:rPr>
                    <w:t>位于1F，</w:t>
                  </w:r>
                  <w:r>
                    <w:rPr>
                      <w:rFonts w:hint="eastAsia" w:ascii="Times New Roman" w:hAnsi="Times New Roman" w:eastAsia="宋体" w:cs="Times New Roman"/>
                      <w:color w:val="auto"/>
                      <w:kern w:val="2"/>
                      <w:sz w:val="21"/>
                      <w:szCs w:val="21"/>
                      <w:highlight w:val="none"/>
                      <w:lang w:val="en-US" w:eastAsia="zh-CN" w:bidi="ar-SA"/>
                    </w:rPr>
                    <w:t>占地面积</w:t>
                  </w:r>
                  <w:r>
                    <w:rPr>
                      <w:rFonts w:hint="eastAsia" w:cs="Times New Roman"/>
                      <w:color w:val="auto"/>
                      <w:kern w:val="2"/>
                      <w:sz w:val="21"/>
                      <w:szCs w:val="21"/>
                      <w:highlight w:val="none"/>
                      <w:lang w:val="en-US" w:eastAsia="zh-CN" w:bidi="ar-SA"/>
                    </w:rPr>
                    <w:t>17</w:t>
                  </w:r>
                  <w:r>
                    <w:rPr>
                      <w:rFonts w:hint="eastAsia" w:ascii="Times New Roman" w:hAnsi="Times New Roman" w:eastAsia="宋体" w:cs="Times New Roman"/>
                      <w:color w:val="auto"/>
                      <w:kern w:val="2"/>
                      <w:sz w:val="21"/>
                      <w:szCs w:val="21"/>
                      <w:highlight w:val="none"/>
                      <w:lang w:val="en-US" w:eastAsia="zh-CN" w:bidi="ar-SA"/>
                    </w:rPr>
                    <w:t>0m</w:t>
                  </w:r>
                  <w:r>
                    <w:rPr>
                      <w:rFonts w:hint="eastAsia" w:ascii="Times New Roman" w:hAnsi="Times New Roman" w:eastAsia="宋体" w:cs="Times New Roman"/>
                      <w:color w:val="auto"/>
                      <w:kern w:val="2"/>
                      <w:sz w:val="21"/>
                      <w:szCs w:val="21"/>
                      <w:highlight w:val="none"/>
                      <w:vertAlign w:val="superscript"/>
                      <w:lang w:val="en-US" w:eastAsia="zh-CN" w:bidi="ar-SA"/>
                    </w:rPr>
                    <w:t>2</w:t>
                  </w:r>
                  <w:r>
                    <w:rPr>
                      <w:rFonts w:hint="eastAsia" w:ascii="Times New Roman" w:hAnsi="Times New Roman" w:cs="Times New Roman"/>
                      <w:color w:val="auto"/>
                      <w:kern w:val="2"/>
                      <w:sz w:val="21"/>
                      <w:szCs w:val="21"/>
                      <w:highlight w:val="none"/>
                      <w:lang w:val="en-US" w:eastAsia="zh-CN" w:bidi="ar-SA"/>
                    </w:rPr>
                    <w:t>，</w:t>
                  </w:r>
                  <w:r>
                    <w:rPr>
                      <w:rFonts w:hint="eastAsia" w:cs="Times New Roman"/>
                      <w:color w:val="auto"/>
                      <w:kern w:val="2"/>
                      <w:sz w:val="21"/>
                      <w:szCs w:val="21"/>
                      <w:highlight w:val="none"/>
                      <w:lang w:val="en-US" w:eastAsia="zh-CN" w:bidi="ar-SA"/>
                    </w:rPr>
                    <w:t>主要用于存储成品酒。</w:t>
                  </w:r>
                </w:p>
              </w:tc>
              <w:tc>
                <w:tcPr>
                  <w:tcW w:w="916" w:type="pct"/>
                  <w:noWrap w:val="0"/>
                  <w:vAlign w:val="center"/>
                </w:tcPr>
                <w:p w14:paraId="702EE8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已建</w:t>
                  </w:r>
                </w:p>
              </w:tc>
            </w:tr>
            <w:tr w14:paraId="777AE8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385" w:type="pct"/>
                  <w:vMerge w:val="continue"/>
                  <w:noWrap w:val="0"/>
                  <w:vAlign w:val="center"/>
                </w:tcPr>
                <w:p w14:paraId="0CA7E4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p>
              </w:tc>
              <w:tc>
                <w:tcPr>
                  <w:tcW w:w="939" w:type="pct"/>
                  <w:gridSpan w:val="2"/>
                  <w:noWrap w:val="0"/>
                  <w:vAlign w:val="center"/>
                </w:tcPr>
                <w:p w14:paraId="239E7E7D">
                  <w:pPr>
                    <w:pStyle w:val="53"/>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lang w:eastAsia="zh-CN"/>
                    </w:rPr>
                    <w:t>办公区</w:t>
                  </w:r>
                </w:p>
              </w:tc>
              <w:tc>
                <w:tcPr>
                  <w:tcW w:w="2758" w:type="pct"/>
                  <w:noWrap w:val="0"/>
                  <w:vAlign w:val="center"/>
                </w:tcPr>
                <w:p w14:paraId="0489662B">
                  <w:pPr>
                    <w:pStyle w:val="53"/>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依托现有办公用房，位于</w:t>
                  </w:r>
                  <w:r>
                    <w:rPr>
                      <w:rFonts w:hint="eastAsia" w:cs="宋体"/>
                      <w:color w:val="auto"/>
                      <w:kern w:val="0"/>
                      <w:sz w:val="21"/>
                      <w:szCs w:val="21"/>
                      <w:highlight w:val="none"/>
                      <w:lang w:val="en-US" w:eastAsia="zh-CN"/>
                    </w:rPr>
                    <w:t>成品库北侧，</w:t>
                  </w:r>
                  <w:r>
                    <w:rPr>
                      <w:rFonts w:hint="eastAsia" w:ascii="Times New Roman" w:hAnsi="Times New Roman" w:cs="Times New Roman"/>
                      <w:color w:val="auto"/>
                      <w:kern w:val="2"/>
                      <w:sz w:val="21"/>
                      <w:szCs w:val="21"/>
                      <w:highlight w:val="none"/>
                      <w:lang w:val="en-US" w:eastAsia="zh-CN" w:bidi="ar-SA"/>
                    </w:rPr>
                    <w:t>楼层高度为2层，</w:t>
                  </w:r>
                  <w:r>
                    <w:rPr>
                      <w:rFonts w:hint="eastAsia" w:cs="Times New Roman"/>
                      <w:color w:val="auto"/>
                      <w:kern w:val="2"/>
                      <w:sz w:val="21"/>
                      <w:szCs w:val="21"/>
                      <w:highlight w:val="none"/>
                      <w:lang w:val="en-US" w:eastAsia="zh-CN" w:bidi="ar-SA"/>
                    </w:rPr>
                    <w:t>办公区</w:t>
                  </w:r>
                  <w:r>
                    <w:rPr>
                      <w:rFonts w:hint="eastAsia" w:ascii="Times New Roman" w:hAnsi="Times New Roman" w:cs="Times New Roman"/>
                      <w:color w:val="auto"/>
                      <w:kern w:val="2"/>
                      <w:sz w:val="21"/>
                      <w:szCs w:val="21"/>
                      <w:highlight w:val="none"/>
                      <w:lang w:val="en-US" w:eastAsia="zh-CN" w:bidi="ar-SA"/>
                    </w:rPr>
                    <w:t>位于1F，</w:t>
                  </w:r>
                  <w:r>
                    <w:rPr>
                      <w:rFonts w:hint="eastAsia" w:ascii="Times New Roman" w:hAnsi="Times New Roman" w:eastAsia="宋体" w:cs="Times New Roman"/>
                      <w:color w:val="auto"/>
                      <w:kern w:val="2"/>
                      <w:sz w:val="21"/>
                      <w:szCs w:val="21"/>
                      <w:highlight w:val="none"/>
                      <w:lang w:val="en-US" w:eastAsia="zh-CN" w:bidi="ar-SA"/>
                    </w:rPr>
                    <w:t>占地面积</w:t>
                  </w:r>
                  <w:r>
                    <w:rPr>
                      <w:rFonts w:hint="eastAsia" w:cs="Times New Roman"/>
                      <w:color w:val="auto"/>
                      <w:kern w:val="2"/>
                      <w:sz w:val="21"/>
                      <w:szCs w:val="21"/>
                      <w:highlight w:val="none"/>
                      <w:lang w:val="en-US" w:eastAsia="zh-CN" w:bidi="ar-SA"/>
                    </w:rPr>
                    <w:t>7</w:t>
                  </w:r>
                  <w:r>
                    <w:rPr>
                      <w:rFonts w:hint="eastAsia" w:ascii="Times New Roman" w:hAnsi="Times New Roman" w:eastAsia="宋体" w:cs="Times New Roman"/>
                      <w:color w:val="auto"/>
                      <w:kern w:val="2"/>
                      <w:sz w:val="21"/>
                      <w:szCs w:val="21"/>
                      <w:highlight w:val="none"/>
                      <w:lang w:val="en-US" w:eastAsia="zh-CN" w:bidi="ar-SA"/>
                    </w:rPr>
                    <w:t>0m</w:t>
                  </w:r>
                  <w:r>
                    <w:rPr>
                      <w:rFonts w:hint="eastAsia" w:ascii="Times New Roman" w:hAnsi="Times New Roman" w:eastAsia="宋体" w:cs="Times New Roman"/>
                      <w:color w:val="auto"/>
                      <w:kern w:val="2"/>
                      <w:sz w:val="21"/>
                      <w:szCs w:val="21"/>
                      <w:highlight w:val="none"/>
                      <w:vertAlign w:val="superscript"/>
                      <w:lang w:val="en-US" w:eastAsia="zh-CN" w:bidi="ar-SA"/>
                    </w:rPr>
                    <w:t>2</w:t>
                  </w:r>
                  <w:r>
                    <w:rPr>
                      <w:rFonts w:hint="eastAsia" w:ascii="Times New Roman" w:hAnsi="Times New Roman" w:cs="Times New Roman"/>
                      <w:color w:val="auto"/>
                      <w:kern w:val="2"/>
                      <w:sz w:val="21"/>
                      <w:szCs w:val="21"/>
                      <w:highlight w:val="none"/>
                      <w:lang w:val="en-US" w:eastAsia="zh-CN" w:bidi="ar-SA"/>
                    </w:rPr>
                    <w:t>，</w:t>
                  </w:r>
                  <w:r>
                    <w:rPr>
                      <w:rFonts w:hint="eastAsia" w:cs="Times New Roman"/>
                      <w:color w:val="auto"/>
                      <w:kern w:val="2"/>
                      <w:sz w:val="21"/>
                      <w:szCs w:val="21"/>
                      <w:highlight w:val="none"/>
                      <w:lang w:val="en-US" w:eastAsia="zh-CN" w:bidi="ar-SA"/>
                    </w:rPr>
                    <w:t>主要用于日常办公。</w:t>
                  </w:r>
                </w:p>
              </w:tc>
              <w:tc>
                <w:tcPr>
                  <w:tcW w:w="916" w:type="pct"/>
                  <w:noWrap w:val="0"/>
                  <w:vAlign w:val="center"/>
                </w:tcPr>
                <w:p w14:paraId="63AC38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已建</w:t>
                  </w:r>
                </w:p>
              </w:tc>
            </w:tr>
            <w:tr w14:paraId="03A4F8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85" w:type="pct"/>
                  <w:vMerge w:val="continue"/>
                  <w:noWrap w:val="0"/>
                  <w:vAlign w:val="center"/>
                </w:tcPr>
                <w:p w14:paraId="5EE47C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p>
              </w:tc>
              <w:tc>
                <w:tcPr>
                  <w:tcW w:w="939" w:type="pct"/>
                  <w:gridSpan w:val="2"/>
                  <w:noWrap w:val="0"/>
                  <w:vAlign w:val="center"/>
                </w:tcPr>
                <w:p w14:paraId="6B90F9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rPr>
                    <w:t>值班室</w:t>
                  </w:r>
                </w:p>
              </w:tc>
              <w:tc>
                <w:tcPr>
                  <w:tcW w:w="2758" w:type="pct"/>
                  <w:noWrap w:val="0"/>
                  <w:vAlign w:val="center"/>
                </w:tcPr>
                <w:p w14:paraId="74BCBF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位于</w:t>
                  </w:r>
                  <w:r>
                    <w:rPr>
                      <w:rFonts w:hint="eastAsia" w:cs="宋体"/>
                      <w:color w:val="auto"/>
                      <w:kern w:val="0"/>
                      <w:sz w:val="21"/>
                      <w:szCs w:val="21"/>
                      <w:highlight w:val="none"/>
                      <w:lang w:val="en-US" w:eastAsia="zh-CN"/>
                    </w:rPr>
                    <w:t>办公楼西北侧，</w:t>
                  </w:r>
                  <w:r>
                    <w:rPr>
                      <w:rFonts w:hint="eastAsia" w:ascii="Times New Roman" w:hAnsi="Times New Roman" w:eastAsia="宋体" w:cs="Times New Roman"/>
                      <w:color w:val="auto"/>
                      <w:kern w:val="2"/>
                      <w:sz w:val="21"/>
                      <w:szCs w:val="21"/>
                      <w:highlight w:val="none"/>
                      <w:lang w:val="en-US" w:eastAsia="zh-CN" w:bidi="ar-SA"/>
                    </w:rPr>
                    <w:t>占地面积</w:t>
                  </w:r>
                  <w:r>
                    <w:rPr>
                      <w:rFonts w:hint="eastAsia" w:cs="Times New Roman"/>
                      <w:color w:val="auto"/>
                      <w:kern w:val="2"/>
                      <w:sz w:val="21"/>
                      <w:szCs w:val="21"/>
                      <w:highlight w:val="none"/>
                      <w:lang w:val="en-US" w:eastAsia="zh-CN" w:bidi="ar-SA"/>
                    </w:rPr>
                    <w:t>10</w:t>
                  </w:r>
                  <w:r>
                    <w:rPr>
                      <w:rFonts w:hint="eastAsia" w:ascii="Times New Roman" w:hAnsi="Times New Roman" w:eastAsia="宋体" w:cs="Times New Roman"/>
                      <w:color w:val="auto"/>
                      <w:kern w:val="2"/>
                      <w:sz w:val="21"/>
                      <w:szCs w:val="21"/>
                      <w:highlight w:val="none"/>
                      <w:lang w:val="en-US" w:eastAsia="zh-CN" w:bidi="ar-SA"/>
                    </w:rPr>
                    <w:t>m</w:t>
                  </w:r>
                  <w:r>
                    <w:rPr>
                      <w:rFonts w:hint="eastAsia" w:ascii="Times New Roman" w:hAnsi="Times New Roman" w:eastAsia="宋体" w:cs="Times New Roman"/>
                      <w:color w:val="auto"/>
                      <w:kern w:val="2"/>
                      <w:sz w:val="21"/>
                      <w:szCs w:val="21"/>
                      <w:highlight w:val="none"/>
                      <w:vertAlign w:val="superscript"/>
                      <w:lang w:val="en-US" w:eastAsia="zh-CN" w:bidi="ar-SA"/>
                    </w:rPr>
                    <w:t>2</w:t>
                  </w:r>
                  <w:r>
                    <w:rPr>
                      <w:rFonts w:hint="eastAsia" w:ascii="Times New Roman" w:hAnsi="Times New Roman" w:cs="Times New Roman"/>
                      <w:color w:val="auto"/>
                      <w:kern w:val="2"/>
                      <w:sz w:val="21"/>
                      <w:szCs w:val="21"/>
                      <w:highlight w:val="none"/>
                      <w:lang w:val="en-US" w:eastAsia="zh-CN" w:bidi="ar-SA"/>
                    </w:rPr>
                    <w:t>，</w:t>
                  </w:r>
                  <w:r>
                    <w:rPr>
                      <w:rFonts w:hint="eastAsia" w:cs="Times New Roman"/>
                      <w:color w:val="auto"/>
                      <w:kern w:val="2"/>
                      <w:sz w:val="21"/>
                      <w:szCs w:val="21"/>
                      <w:highlight w:val="none"/>
                      <w:lang w:val="en-US" w:eastAsia="zh-CN" w:bidi="ar-SA"/>
                    </w:rPr>
                    <w:t>主要用于日常值班。</w:t>
                  </w:r>
                </w:p>
              </w:tc>
              <w:tc>
                <w:tcPr>
                  <w:tcW w:w="916" w:type="pct"/>
                  <w:noWrap w:val="0"/>
                  <w:vAlign w:val="center"/>
                </w:tcPr>
                <w:p w14:paraId="413E38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已建</w:t>
                  </w:r>
                </w:p>
              </w:tc>
            </w:tr>
            <w:bookmarkEnd w:id="13"/>
            <w:tr w14:paraId="584BA5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5" w:type="pct"/>
                  <w:vMerge w:val="restart"/>
                  <w:noWrap w:val="0"/>
                  <w:vAlign w:val="center"/>
                </w:tcPr>
                <w:p w14:paraId="6C8B91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r>
                    <w:rPr>
                      <w:rFonts w:ascii="Times New Roman" w:hAnsi="Times New Roman" w:eastAsia="宋体"/>
                      <w:color w:val="auto"/>
                      <w:kern w:val="2"/>
                      <w:sz w:val="21"/>
                      <w:szCs w:val="21"/>
                      <w:highlight w:val="none"/>
                    </w:rPr>
                    <w:t>公用工程</w:t>
                  </w:r>
                </w:p>
              </w:tc>
              <w:tc>
                <w:tcPr>
                  <w:tcW w:w="939" w:type="pct"/>
                  <w:gridSpan w:val="2"/>
                  <w:noWrap w:val="0"/>
                  <w:vAlign w:val="center"/>
                </w:tcPr>
                <w:p w14:paraId="4F5C7AC3">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ascii="Times New Roman" w:hAnsi="Times New Roman" w:eastAsia="宋体"/>
                      <w:color w:val="auto"/>
                      <w:kern w:val="2"/>
                      <w:sz w:val="21"/>
                      <w:szCs w:val="21"/>
                      <w:highlight w:val="none"/>
                    </w:rPr>
                    <w:t>供电</w:t>
                  </w:r>
                </w:p>
              </w:tc>
              <w:tc>
                <w:tcPr>
                  <w:tcW w:w="2758" w:type="pct"/>
                  <w:noWrap w:val="0"/>
                  <w:vAlign w:val="center"/>
                </w:tcPr>
                <w:p w14:paraId="64F2C3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市政供电。</w:t>
                  </w:r>
                </w:p>
              </w:tc>
              <w:tc>
                <w:tcPr>
                  <w:tcW w:w="916" w:type="pct"/>
                  <w:noWrap w:val="0"/>
                  <w:vAlign w:val="center"/>
                </w:tcPr>
                <w:p w14:paraId="4B3837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依托供电管网</w:t>
                  </w:r>
                </w:p>
              </w:tc>
            </w:tr>
            <w:tr w14:paraId="54A705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385" w:type="pct"/>
                  <w:vMerge w:val="continue"/>
                  <w:noWrap w:val="0"/>
                  <w:vAlign w:val="center"/>
                </w:tcPr>
                <w:p w14:paraId="3B0EF4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p>
              </w:tc>
              <w:tc>
                <w:tcPr>
                  <w:tcW w:w="939" w:type="pct"/>
                  <w:gridSpan w:val="2"/>
                  <w:shd w:val="clear" w:color="auto" w:fill="auto"/>
                  <w:noWrap w:val="0"/>
                  <w:vAlign w:val="center"/>
                </w:tcPr>
                <w:p w14:paraId="6B399740">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ascii="Times New Roman" w:hAnsi="Times New Roman" w:eastAsia="宋体"/>
                      <w:color w:val="auto"/>
                      <w:kern w:val="2"/>
                      <w:sz w:val="21"/>
                      <w:szCs w:val="21"/>
                      <w:highlight w:val="none"/>
                    </w:rPr>
                    <w:t>供水</w:t>
                  </w:r>
                </w:p>
              </w:tc>
              <w:tc>
                <w:tcPr>
                  <w:tcW w:w="2758" w:type="pct"/>
                  <w:shd w:val="clear" w:color="auto" w:fill="auto"/>
                  <w:noWrap w:val="0"/>
                  <w:vAlign w:val="center"/>
                </w:tcPr>
                <w:p w14:paraId="68BEBF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市政供水。</w:t>
                  </w:r>
                </w:p>
              </w:tc>
              <w:tc>
                <w:tcPr>
                  <w:tcW w:w="916" w:type="pct"/>
                  <w:noWrap w:val="0"/>
                  <w:vAlign w:val="center"/>
                </w:tcPr>
                <w:p w14:paraId="569818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依托供水管网</w:t>
                  </w:r>
                </w:p>
              </w:tc>
            </w:tr>
            <w:tr w14:paraId="1D273F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385" w:type="pct"/>
                  <w:vMerge w:val="continue"/>
                  <w:noWrap w:val="0"/>
                  <w:vAlign w:val="center"/>
                </w:tcPr>
                <w:p w14:paraId="7F31A7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p>
              </w:tc>
              <w:tc>
                <w:tcPr>
                  <w:tcW w:w="939" w:type="pct"/>
                  <w:gridSpan w:val="2"/>
                  <w:noWrap w:val="0"/>
                  <w:vAlign w:val="center"/>
                </w:tcPr>
                <w:p w14:paraId="5C4670FC">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排水</w:t>
                  </w:r>
                </w:p>
              </w:tc>
              <w:tc>
                <w:tcPr>
                  <w:tcW w:w="2758" w:type="pct"/>
                  <w:noWrap w:val="0"/>
                  <w:vAlign w:val="center"/>
                </w:tcPr>
                <w:p w14:paraId="51E577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2"/>
                      <w:sz w:val="21"/>
                      <w:szCs w:val="21"/>
                      <w:highlight w:val="none"/>
                    </w:rPr>
                    <w:t>雨污分流，雨水经收集后直接排入雨水管网</w:t>
                  </w:r>
                  <w:r>
                    <w:rPr>
                      <w:rFonts w:hint="eastAsia"/>
                      <w:color w:val="auto"/>
                      <w:kern w:val="2"/>
                      <w:sz w:val="21"/>
                      <w:szCs w:val="21"/>
                      <w:highlight w:val="none"/>
                      <w:lang w:eastAsia="zh-CN"/>
                    </w:rPr>
                    <w:t>；</w:t>
                  </w:r>
                  <w:r>
                    <w:rPr>
                      <w:rFonts w:hint="eastAsia" w:ascii="Times New Roman" w:hAnsi="Times New Roman" w:cs="Times New Roman"/>
                      <w:color w:val="FF0000"/>
                      <w:sz w:val="21"/>
                      <w:szCs w:val="21"/>
                      <w:highlight w:val="none"/>
                    </w:rPr>
                    <w:t>项目生产废水</w:t>
                  </w:r>
                  <w:r>
                    <w:rPr>
                      <w:rFonts w:hint="eastAsia" w:ascii="Times New Roman" w:hAnsi="Times New Roman" w:cs="Times New Roman"/>
                      <w:color w:val="FF0000"/>
                      <w:sz w:val="21"/>
                      <w:szCs w:val="21"/>
                      <w:highlight w:val="none"/>
                      <w:lang w:eastAsia="zh-CN"/>
                    </w:rPr>
                    <w:t>包括设备清洗废水、</w:t>
                  </w:r>
                  <w:r>
                    <w:rPr>
                      <w:rFonts w:hint="eastAsia" w:ascii="Times New Roman" w:hAnsi="Times New Roman" w:cs="Times New Roman"/>
                      <w:color w:val="FF0000"/>
                      <w:sz w:val="21"/>
                      <w:szCs w:val="21"/>
                      <w:highlight w:val="none"/>
                      <w:lang w:val="en-US" w:eastAsia="zh-CN"/>
                    </w:rPr>
                    <w:t>空瓶清洗废水、试验废液、试验仪器清洗废水和纯水制备浓水。设备清洗废水、试验仪器清洗废水、空瓶清洗废水和纯水制备浓水经废水收集桶收集委托检测单位检测合格，符合佛坪县污水处理厂进水水质要求后，通过罐车拉运至佛坪县污水处理厂处理；剩余</w:t>
                  </w:r>
                  <w:r>
                    <w:rPr>
                      <w:rFonts w:hint="eastAsia" w:cs="Times New Roman"/>
                      <w:color w:val="FF0000"/>
                      <w:sz w:val="21"/>
                      <w:szCs w:val="21"/>
                      <w:highlight w:val="none"/>
                      <w:lang w:val="en-US" w:eastAsia="zh-CN"/>
                    </w:rPr>
                    <w:t>少量</w:t>
                  </w:r>
                  <w:r>
                    <w:rPr>
                      <w:rFonts w:hint="eastAsia" w:ascii="Times New Roman" w:hAnsi="Times New Roman" w:cs="Times New Roman"/>
                      <w:color w:val="FF0000"/>
                      <w:sz w:val="21"/>
                      <w:szCs w:val="21"/>
                      <w:highlight w:val="none"/>
                      <w:lang w:val="en-US" w:eastAsia="zh-CN"/>
                    </w:rPr>
                    <w:t>纯水制备浓水经废水收集桶收集后用于冲厕。</w:t>
                  </w:r>
                  <w:r>
                    <w:rPr>
                      <w:rFonts w:hint="eastAsia"/>
                      <w:color w:val="FF0000"/>
                      <w:kern w:val="2"/>
                      <w:sz w:val="21"/>
                      <w:szCs w:val="21"/>
                      <w:highlight w:val="none"/>
                    </w:rPr>
                    <w:t>生活污水依托</w:t>
                  </w:r>
                  <w:r>
                    <w:rPr>
                      <w:rFonts w:hint="eastAsia"/>
                      <w:color w:val="FF0000"/>
                      <w:kern w:val="2"/>
                      <w:sz w:val="21"/>
                      <w:szCs w:val="21"/>
                      <w:highlight w:val="none"/>
                      <w:lang w:eastAsia="zh-CN"/>
                    </w:rPr>
                    <w:t>已建</w:t>
                  </w:r>
                  <w:r>
                    <w:rPr>
                      <w:rFonts w:hint="eastAsia"/>
                      <w:color w:val="FF0000"/>
                      <w:kern w:val="2"/>
                      <w:sz w:val="21"/>
                      <w:szCs w:val="21"/>
                      <w:highlight w:val="none"/>
                    </w:rPr>
                    <w:t>化粪池（</w:t>
                  </w:r>
                  <w:r>
                    <w:rPr>
                      <w:color w:val="FF0000"/>
                      <w:kern w:val="2"/>
                      <w:sz w:val="21"/>
                      <w:szCs w:val="21"/>
                      <w:highlight w:val="none"/>
                    </w:rPr>
                    <w:t>2</w:t>
                  </w:r>
                  <w:r>
                    <w:rPr>
                      <w:rFonts w:hint="eastAsia"/>
                      <w:color w:val="FF0000"/>
                      <w:kern w:val="2"/>
                      <w:sz w:val="21"/>
                      <w:szCs w:val="21"/>
                      <w:highlight w:val="none"/>
                    </w:rPr>
                    <w:t>0m</w:t>
                  </w:r>
                  <w:r>
                    <w:rPr>
                      <w:rFonts w:hint="eastAsia"/>
                      <w:color w:val="FF0000"/>
                      <w:kern w:val="2"/>
                      <w:sz w:val="21"/>
                      <w:szCs w:val="21"/>
                      <w:highlight w:val="none"/>
                      <w:vertAlign w:val="superscript"/>
                    </w:rPr>
                    <w:t>3</w:t>
                  </w:r>
                  <w:r>
                    <w:rPr>
                      <w:rFonts w:hint="eastAsia"/>
                      <w:color w:val="FF0000"/>
                      <w:kern w:val="2"/>
                      <w:sz w:val="21"/>
                      <w:szCs w:val="21"/>
                      <w:highlight w:val="none"/>
                    </w:rPr>
                    <w:t>）预处理后，由市政</w:t>
                  </w:r>
                  <w:r>
                    <w:rPr>
                      <w:rFonts w:hint="eastAsia"/>
                      <w:color w:val="FF0000"/>
                      <w:kern w:val="2"/>
                      <w:sz w:val="21"/>
                      <w:szCs w:val="21"/>
                      <w:highlight w:val="none"/>
                      <w:lang w:eastAsia="zh-CN"/>
                    </w:rPr>
                    <w:t>污水</w:t>
                  </w:r>
                  <w:r>
                    <w:rPr>
                      <w:rFonts w:hint="eastAsia"/>
                      <w:color w:val="FF0000"/>
                      <w:kern w:val="2"/>
                      <w:sz w:val="21"/>
                      <w:szCs w:val="21"/>
                      <w:highlight w:val="none"/>
                    </w:rPr>
                    <w:t>管网排入</w:t>
                  </w:r>
                  <w:r>
                    <w:rPr>
                      <w:rFonts w:hint="eastAsia"/>
                      <w:color w:val="FF0000"/>
                      <w:kern w:val="2"/>
                      <w:sz w:val="21"/>
                      <w:szCs w:val="21"/>
                      <w:highlight w:val="none"/>
                      <w:lang w:eastAsia="zh-CN"/>
                    </w:rPr>
                    <w:t>佛坪县</w:t>
                  </w:r>
                  <w:r>
                    <w:rPr>
                      <w:rFonts w:hint="eastAsia"/>
                      <w:color w:val="FF0000"/>
                      <w:kern w:val="2"/>
                      <w:sz w:val="21"/>
                      <w:szCs w:val="21"/>
                      <w:highlight w:val="none"/>
                    </w:rPr>
                    <w:t>污水处理厂处理</w:t>
                  </w:r>
                  <w:r>
                    <w:rPr>
                      <w:rFonts w:hint="eastAsia"/>
                      <w:color w:val="FF0000"/>
                      <w:kern w:val="2"/>
                      <w:sz w:val="21"/>
                      <w:szCs w:val="21"/>
                      <w:highlight w:val="none"/>
                      <w:lang w:eastAsia="zh-CN"/>
                    </w:rPr>
                    <w:t>。</w:t>
                  </w:r>
                </w:p>
              </w:tc>
              <w:tc>
                <w:tcPr>
                  <w:tcW w:w="916" w:type="pct"/>
                  <w:noWrap w:val="0"/>
                  <w:vAlign w:val="center"/>
                </w:tcPr>
                <w:p w14:paraId="5F7735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kern w:val="2"/>
                      <w:sz w:val="21"/>
                      <w:szCs w:val="21"/>
                      <w:highlight w:val="none"/>
                      <w:lang w:val="en-US" w:eastAsia="zh-CN" w:bidi="ar-SA"/>
                    </w:rPr>
                    <w:t>生活污水依托化粪池</w:t>
                  </w:r>
                </w:p>
              </w:tc>
            </w:tr>
            <w:tr w14:paraId="5D798E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85" w:type="pct"/>
                  <w:vMerge w:val="continue"/>
                  <w:noWrap w:val="0"/>
                  <w:vAlign w:val="center"/>
                </w:tcPr>
                <w:p w14:paraId="145767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p>
              </w:tc>
              <w:tc>
                <w:tcPr>
                  <w:tcW w:w="939" w:type="pct"/>
                  <w:gridSpan w:val="2"/>
                  <w:noWrap w:val="0"/>
                  <w:vAlign w:val="center"/>
                </w:tcPr>
                <w:p w14:paraId="69085C5F">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bookmarkStart w:id="14" w:name="OLE_LINK44"/>
                  <w:r>
                    <w:rPr>
                      <w:rFonts w:ascii="Times New Roman" w:hAnsi="Times New Roman" w:eastAsia="宋体"/>
                      <w:color w:val="auto"/>
                      <w:kern w:val="2"/>
                      <w:sz w:val="21"/>
                      <w:szCs w:val="21"/>
                      <w:highlight w:val="none"/>
                    </w:rPr>
                    <w:t>供</w:t>
                  </w:r>
                  <w:r>
                    <w:rPr>
                      <w:rFonts w:hint="eastAsia" w:ascii="Times New Roman" w:hAnsi="Times New Roman" w:eastAsia="宋体"/>
                      <w:color w:val="auto"/>
                      <w:kern w:val="2"/>
                      <w:sz w:val="21"/>
                      <w:szCs w:val="21"/>
                      <w:highlight w:val="none"/>
                      <w:lang w:eastAsia="zh-CN"/>
                    </w:rPr>
                    <w:t>热</w:t>
                  </w:r>
                  <w:r>
                    <w:rPr>
                      <w:rFonts w:hint="eastAsia" w:ascii="Times New Roman" w:hAnsi="Times New Roman" w:eastAsia="宋体"/>
                      <w:color w:val="auto"/>
                      <w:kern w:val="2"/>
                      <w:sz w:val="21"/>
                      <w:szCs w:val="21"/>
                      <w:highlight w:val="none"/>
                    </w:rPr>
                    <w:t>制冷</w:t>
                  </w:r>
                  <w:bookmarkEnd w:id="14"/>
                </w:p>
              </w:tc>
              <w:tc>
                <w:tcPr>
                  <w:tcW w:w="2758" w:type="pct"/>
                  <w:noWrap w:val="0"/>
                  <w:vAlign w:val="center"/>
                </w:tcPr>
                <w:p w14:paraId="48434AC9">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生产厂房不制冷供暖，休息区采用</w:t>
                  </w:r>
                  <w:r>
                    <w:rPr>
                      <w:color w:val="auto"/>
                      <w:kern w:val="2"/>
                      <w:sz w:val="21"/>
                      <w:szCs w:val="21"/>
                      <w:highlight w:val="none"/>
                    </w:rPr>
                    <w:t>空调进行</w:t>
                  </w:r>
                  <w:r>
                    <w:rPr>
                      <w:rFonts w:hint="eastAsia"/>
                      <w:color w:val="auto"/>
                      <w:kern w:val="2"/>
                      <w:sz w:val="21"/>
                      <w:szCs w:val="21"/>
                      <w:highlight w:val="none"/>
                    </w:rPr>
                    <w:t>供暖制冷</w:t>
                  </w:r>
                  <w:r>
                    <w:rPr>
                      <w:rFonts w:hint="eastAsia"/>
                      <w:color w:val="auto"/>
                      <w:kern w:val="2"/>
                      <w:sz w:val="21"/>
                      <w:szCs w:val="21"/>
                      <w:highlight w:val="none"/>
                      <w:lang w:eastAsia="zh-CN"/>
                    </w:rPr>
                    <w:t>。</w:t>
                  </w:r>
                </w:p>
              </w:tc>
              <w:tc>
                <w:tcPr>
                  <w:tcW w:w="916" w:type="pct"/>
                  <w:noWrap w:val="0"/>
                  <w:vAlign w:val="center"/>
                </w:tcPr>
                <w:p w14:paraId="00629DB0">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p>
              </w:tc>
            </w:tr>
            <w:tr w14:paraId="09F83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385" w:type="pct"/>
                  <w:vMerge w:val="restart"/>
                  <w:noWrap w:val="0"/>
                  <w:vAlign w:val="center"/>
                </w:tcPr>
                <w:p w14:paraId="75A855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r>
                    <w:rPr>
                      <w:rFonts w:hint="eastAsia" w:ascii="Times New Roman" w:hAnsi="Times New Roman" w:eastAsia="宋体" w:cs="宋体"/>
                      <w:color w:val="auto"/>
                      <w:kern w:val="0"/>
                      <w:sz w:val="21"/>
                      <w:szCs w:val="21"/>
                      <w:highlight w:val="none"/>
                    </w:rPr>
                    <w:t>环保工程</w:t>
                  </w:r>
                </w:p>
              </w:tc>
              <w:tc>
                <w:tcPr>
                  <w:tcW w:w="939" w:type="pct"/>
                  <w:gridSpan w:val="2"/>
                  <w:noWrap w:val="0"/>
                  <w:vAlign w:val="center"/>
                </w:tcPr>
                <w:p w14:paraId="5D9185EE">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废水</w:t>
                  </w:r>
                </w:p>
              </w:tc>
              <w:tc>
                <w:tcPr>
                  <w:tcW w:w="2758" w:type="pct"/>
                  <w:noWrap w:val="0"/>
                  <w:vAlign w:val="center"/>
                </w:tcPr>
                <w:p w14:paraId="0508538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right="0" w:rightChars="0"/>
                    <w:jc w:val="left"/>
                    <w:textAlignment w:val="auto"/>
                    <w:rPr>
                      <w:rFonts w:hint="eastAsia" w:eastAsia="宋体"/>
                      <w:color w:val="auto"/>
                      <w:sz w:val="21"/>
                      <w:szCs w:val="21"/>
                      <w:highlight w:val="none"/>
                      <w:lang w:val="en-US" w:eastAsia="zh-CN"/>
                    </w:rPr>
                  </w:pPr>
                  <w:r>
                    <w:rPr>
                      <w:rFonts w:hint="eastAsia" w:ascii="Times New Roman" w:hAnsi="Times New Roman" w:cs="Times New Roman"/>
                      <w:color w:val="FF0000"/>
                      <w:sz w:val="21"/>
                      <w:szCs w:val="21"/>
                      <w:highlight w:val="none"/>
                    </w:rPr>
                    <w:t>项目生产废水</w:t>
                  </w:r>
                  <w:r>
                    <w:rPr>
                      <w:rFonts w:hint="eastAsia" w:ascii="Times New Roman" w:hAnsi="Times New Roman" w:cs="Times New Roman"/>
                      <w:color w:val="FF0000"/>
                      <w:sz w:val="21"/>
                      <w:szCs w:val="21"/>
                      <w:highlight w:val="none"/>
                      <w:lang w:eastAsia="zh-CN"/>
                    </w:rPr>
                    <w:t>包括设备清洗废水、</w:t>
                  </w:r>
                  <w:r>
                    <w:rPr>
                      <w:rFonts w:hint="eastAsia" w:ascii="Times New Roman" w:hAnsi="Times New Roman" w:cs="Times New Roman"/>
                      <w:color w:val="FF0000"/>
                      <w:sz w:val="21"/>
                      <w:szCs w:val="21"/>
                      <w:highlight w:val="none"/>
                      <w:lang w:val="en-US" w:eastAsia="zh-CN"/>
                    </w:rPr>
                    <w:t>空瓶清洗废水、试验废液、试验仪器清洗废水和纯水制备浓水。设备清洗废水、试验仪器清洗废水、空瓶清洗废水和纯水制备浓水经废水收集桶收集委托检测单位检测合格，符合佛坪县污水处理厂进水水质要求后，通过罐车拉运至佛坪县污水处理厂处理；剩余</w:t>
                  </w:r>
                  <w:r>
                    <w:rPr>
                      <w:rFonts w:hint="eastAsia" w:cs="Times New Roman"/>
                      <w:color w:val="FF0000"/>
                      <w:sz w:val="21"/>
                      <w:szCs w:val="21"/>
                      <w:highlight w:val="none"/>
                      <w:lang w:val="en-US" w:eastAsia="zh-CN"/>
                    </w:rPr>
                    <w:t>少量</w:t>
                  </w:r>
                  <w:r>
                    <w:rPr>
                      <w:rFonts w:hint="eastAsia" w:ascii="Times New Roman" w:hAnsi="Times New Roman" w:cs="Times New Roman"/>
                      <w:color w:val="FF0000"/>
                      <w:sz w:val="21"/>
                      <w:szCs w:val="21"/>
                      <w:highlight w:val="none"/>
                      <w:lang w:val="en-US" w:eastAsia="zh-CN"/>
                    </w:rPr>
                    <w:t>纯水制备浓水经废水收集桶收集后用于冲厕。</w:t>
                  </w:r>
                  <w:r>
                    <w:rPr>
                      <w:rFonts w:hint="eastAsia"/>
                      <w:color w:val="auto"/>
                      <w:kern w:val="2"/>
                      <w:sz w:val="21"/>
                      <w:szCs w:val="21"/>
                      <w:highlight w:val="none"/>
                    </w:rPr>
                    <w:t>生活污水依托</w:t>
                  </w:r>
                  <w:r>
                    <w:rPr>
                      <w:rFonts w:hint="eastAsia"/>
                      <w:color w:val="auto"/>
                      <w:kern w:val="2"/>
                      <w:sz w:val="21"/>
                      <w:szCs w:val="21"/>
                      <w:highlight w:val="none"/>
                      <w:lang w:eastAsia="zh-CN"/>
                    </w:rPr>
                    <w:t>已建</w:t>
                  </w:r>
                  <w:r>
                    <w:rPr>
                      <w:rFonts w:hint="eastAsia"/>
                      <w:color w:val="auto"/>
                      <w:kern w:val="2"/>
                      <w:sz w:val="21"/>
                      <w:szCs w:val="21"/>
                      <w:highlight w:val="none"/>
                    </w:rPr>
                    <w:t>化粪池（</w:t>
                  </w:r>
                  <w:r>
                    <w:rPr>
                      <w:color w:val="auto"/>
                      <w:kern w:val="2"/>
                      <w:sz w:val="21"/>
                      <w:szCs w:val="21"/>
                      <w:highlight w:val="none"/>
                    </w:rPr>
                    <w:t>2</w:t>
                  </w:r>
                  <w:r>
                    <w:rPr>
                      <w:rFonts w:hint="eastAsia"/>
                      <w:color w:val="auto"/>
                      <w:kern w:val="2"/>
                      <w:sz w:val="21"/>
                      <w:szCs w:val="21"/>
                      <w:highlight w:val="none"/>
                    </w:rPr>
                    <w:t>0m</w:t>
                  </w:r>
                  <w:r>
                    <w:rPr>
                      <w:rFonts w:hint="eastAsia"/>
                      <w:color w:val="auto"/>
                      <w:kern w:val="2"/>
                      <w:sz w:val="21"/>
                      <w:szCs w:val="21"/>
                      <w:highlight w:val="none"/>
                      <w:vertAlign w:val="superscript"/>
                    </w:rPr>
                    <w:t>3</w:t>
                  </w:r>
                  <w:r>
                    <w:rPr>
                      <w:rFonts w:hint="eastAsia"/>
                      <w:color w:val="auto"/>
                      <w:kern w:val="2"/>
                      <w:sz w:val="21"/>
                      <w:szCs w:val="21"/>
                      <w:highlight w:val="none"/>
                    </w:rPr>
                    <w:t>）预处理后，由市政</w:t>
                  </w:r>
                  <w:r>
                    <w:rPr>
                      <w:rFonts w:hint="eastAsia"/>
                      <w:color w:val="auto"/>
                      <w:kern w:val="2"/>
                      <w:sz w:val="21"/>
                      <w:szCs w:val="21"/>
                      <w:highlight w:val="none"/>
                      <w:lang w:eastAsia="zh-CN"/>
                    </w:rPr>
                    <w:t>污水</w:t>
                  </w:r>
                  <w:r>
                    <w:rPr>
                      <w:rFonts w:hint="eastAsia"/>
                      <w:color w:val="auto"/>
                      <w:kern w:val="2"/>
                      <w:sz w:val="21"/>
                      <w:szCs w:val="21"/>
                      <w:highlight w:val="none"/>
                    </w:rPr>
                    <w:t>管网排入</w:t>
                  </w:r>
                  <w:r>
                    <w:rPr>
                      <w:rFonts w:hint="eastAsia"/>
                      <w:color w:val="auto"/>
                      <w:kern w:val="2"/>
                      <w:sz w:val="21"/>
                      <w:szCs w:val="21"/>
                      <w:highlight w:val="none"/>
                      <w:lang w:eastAsia="zh-CN"/>
                    </w:rPr>
                    <w:t>佛坪县</w:t>
                  </w:r>
                  <w:r>
                    <w:rPr>
                      <w:rFonts w:hint="eastAsia"/>
                      <w:color w:val="auto"/>
                      <w:kern w:val="2"/>
                      <w:sz w:val="21"/>
                      <w:szCs w:val="21"/>
                      <w:highlight w:val="none"/>
                    </w:rPr>
                    <w:t>污水处理厂处理</w:t>
                  </w:r>
                  <w:r>
                    <w:rPr>
                      <w:rFonts w:hint="eastAsia"/>
                      <w:color w:val="auto"/>
                      <w:kern w:val="2"/>
                      <w:sz w:val="21"/>
                      <w:szCs w:val="21"/>
                      <w:highlight w:val="none"/>
                      <w:lang w:eastAsia="zh-CN"/>
                    </w:rPr>
                    <w:t>。</w:t>
                  </w:r>
                </w:p>
              </w:tc>
              <w:tc>
                <w:tcPr>
                  <w:tcW w:w="916" w:type="pct"/>
                  <w:noWrap w:val="0"/>
                  <w:vAlign w:val="center"/>
                </w:tcPr>
                <w:p w14:paraId="634112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olor w:val="auto"/>
                      <w:kern w:val="2"/>
                      <w:sz w:val="21"/>
                      <w:szCs w:val="21"/>
                      <w:highlight w:val="none"/>
                      <w:lang w:val="en-US" w:eastAsia="zh-CN" w:bidi="ar-SA"/>
                    </w:rPr>
                  </w:pPr>
                  <w:r>
                    <w:rPr>
                      <w:rFonts w:hint="eastAsia"/>
                      <w:color w:val="auto"/>
                      <w:kern w:val="2"/>
                      <w:sz w:val="21"/>
                      <w:szCs w:val="21"/>
                      <w:highlight w:val="none"/>
                      <w:lang w:val="en-US" w:eastAsia="zh-CN" w:bidi="ar-SA"/>
                    </w:rPr>
                    <w:t>生活污水依托化粪池</w:t>
                  </w:r>
                </w:p>
              </w:tc>
            </w:tr>
            <w:tr w14:paraId="0FDA35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385" w:type="pct"/>
                  <w:vMerge w:val="continue"/>
                  <w:noWrap w:val="0"/>
                  <w:vAlign w:val="center"/>
                </w:tcPr>
                <w:p w14:paraId="2A7F17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p>
              </w:tc>
              <w:tc>
                <w:tcPr>
                  <w:tcW w:w="447" w:type="pct"/>
                  <w:vMerge w:val="restart"/>
                  <w:noWrap w:val="0"/>
                  <w:vAlign w:val="center"/>
                </w:tcPr>
                <w:p w14:paraId="427A38D1">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废气</w:t>
                  </w:r>
                </w:p>
              </w:tc>
              <w:tc>
                <w:tcPr>
                  <w:tcW w:w="492" w:type="pct"/>
                  <w:noWrap w:val="0"/>
                  <w:vAlign w:val="center"/>
                </w:tcPr>
                <w:p w14:paraId="6DD52458">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发酵废气</w:t>
                  </w:r>
                </w:p>
              </w:tc>
              <w:tc>
                <w:tcPr>
                  <w:tcW w:w="2758" w:type="pct"/>
                  <w:noWrap w:val="0"/>
                  <w:vAlign w:val="center"/>
                </w:tcPr>
                <w:p w14:paraId="2CAE9571">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eastAsia="zh-CN"/>
                    </w:rPr>
                    <w:t>项目车间整体密闭，车间内设置机械排风设施，经车间通风换气后无组织排放。</w:t>
                  </w:r>
                </w:p>
              </w:tc>
              <w:tc>
                <w:tcPr>
                  <w:tcW w:w="916" w:type="pct"/>
                  <w:noWrap w:val="0"/>
                  <w:vAlign w:val="center"/>
                </w:tcPr>
                <w:p w14:paraId="5DDE6461">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4"/>
                      <w:sz w:val="21"/>
                      <w:szCs w:val="21"/>
                      <w:lang w:val="en-US" w:eastAsia="zh-CN" w:bidi="ar-SA"/>
                    </w:rPr>
                  </w:pPr>
                  <w:r>
                    <w:rPr>
                      <w:rFonts w:hint="eastAsia" w:cs="Times New Roman"/>
                      <w:color w:val="auto"/>
                      <w:sz w:val="21"/>
                      <w:szCs w:val="21"/>
                      <w:lang w:val="en-US" w:eastAsia="zh-CN"/>
                    </w:rPr>
                    <w:t>已建</w:t>
                  </w:r>
                </w:p>
              </w:tc>
            </w:tr>
            <w:tr w14:paraId="67FAE8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385" w:type="pct"/>
                  <w:vMerge w:val="continue"/>
                  <w:noWrap w:val="0"/>
                  <w:vAlign w:val="center"/>
                </w:tcPr>
                <w:p w14:paraId="28A9B4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p>
              </w:tc>
              <w:tc>
                <w:tcPr>
                  <w:tcW w:w="447" w:type="pct"/>
                  <w:vMerge w:val="continue"/>
                  <w:noWrap w:val="0"/>
                  <w:vAlign w:val="center"/>
                </w:tcPr>
                <w:p w14:paraId="1D5E3B02">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492" w:type="pct"/>
                  <w:noWrap w:val="0"/>
                  <w:vAlign w:val="center"/>
                </w:tcPr>
                <w:p w14:paraId="53FD774B">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脱醇废气</w:t>
                  </w:r>
                </w:p>
              </w:tc>
              <w:tc>
                <w:tcPr>
                  <w:tcW w:w="2758" w:type="pct"/>
                  <w:noWrap w:val="0"/>
                  <w:vAlign w:val="center"/>
                </w:tcPr>
                <w:p w14:paraId="1BB89BC6">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经设备自带的冷凝回收装置处理后，由车间通风换气后无组织排放</w:t>
                  </w:r>
                </w:p>
              </w:tc>
              <w:tc>
                <w:tcPr>
                  <w:tcW w:w="916" w:type="pct"/>
                  <w:noWrap w:val="0"/>
                  <w:vAlign w:val="center"/>
                </w:tcPr>
                <w:p w14:paraId="1DD9BA98">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新建</w:t>
                  </w:r>
                </w:p>
              </w:tc>
            </w:tr>
            <w:tr w14:paraId="1B59A5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5" w:type="pct"/>
                  <w:vMerge w:val="continue"/>
                  <w:noWrap w:val="0"/>
                  <w:vAlign w:val="center"/>
                </w:tcPr>
                <w:p w14:paraId="62D756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p>
              </w:tc>
              <w:tc>
                <w:tcPr>
                  <w:tcW w:w="447" w:type="pct"/>
                  <w:vMerge w:val="continue"/>
                  <w:noWrap w:val="0"/>
                  <w:vAlign w:val="center"/>
                </w:tcPr>
                <w:p w14:paraId="42CBB21E">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492" w:type="pct"/>
                  <w:noWrap w:val="0"/>
                  <w:vAlign w:val="center"/>
                </w:tcPr>
                <w:p w14:paraId="4767262B">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过滤残渣堆存废气</w:t>
                  </w:r>
                </w:p>
              </w:tc>
              <w:tc>
                <w:tcPr>
                  <w:tcW w:w="2758" w:type="pct"/>
                  <w:noWrap w:val="0"/>
                  <w:vAlign w:val="center"/>
                </w:tcPr>
                <w:p w14:paraId="3BF48852">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cs="Times New Roman"/>
                      <w:color w:val="auto"/>
                      <w:sz w:val="21"/>
                      <w:szCs w:val="21"/>
                      <w:lang w:val="en-US" w:eastAsia="zh-CN"/>
                    </w:rPr>
                    <w:t>过滤残渣</w:t>
                  </w:r>
                  <w:r>
                    <w:rPr>
                      <w:rFonts w:hint="eastAsia" w:ascii="Times New Roman" w:hAnsi="Times New Roman" w:eastAsia="宋体" w:cs="Times New Roman"/>
                      <w:color w:val="auto"/>
                      <w:sz w:val="21"/>
                      <w:szCs w:val="21"/>
                      <w:lang w:val="en-US" w:eastAsia="zh-CN"/>
                    </w:rPr>
                    <w:t>暂存在带盖塑料桶内，及时</w:t>
                  </w:r>
                  <w:r>
                    <w:rPr>
                      <w:rFonts w:hint="eastAsia" w:eastAsia="宋体" w:cs="Times New Roman"/>
                      <w:color w:val="auto"/>
                      <w:sz w:val="21"/>
                      <w:szCs w:val="21"/>
                      <w:lang w:val="en-US" w:eastAsia="zh-CN"/>
                    </w:rPr>
                    <w:t>封盖并做到</w:t>
                  </w:r>
                  <w:r>
                    <w:rPr>
                      <w:rFonts w:hint="eastAsia" w:ascii="Times New Roman" w:hAnsi="Times New Roman" w:eastAsia="宋体" w:cs="Times New Roman"/>
                      <w:color w:val="auto"/>
                      <w:sz w:val="21"/>
                      <w:szCs w:val="21"/>
                      <w:lang w:val="en-US" w:eastAsia="zh-CN"/>
                    </w:rPr>
                    <w:t>日产日清；</w:t>
                  </w:r>
                  <w:r>
                    <w:rPr>
                      <w:rFonts w:hint="eastAsia" w:ascii="Times New Roman" w:hAnsi="Times New Roman" w:cs="Times New Roman"/>
                      <w:color w:val="auto"/>
                      <w:sz w:val="21"/>
                      <w:szCs w:val="21"/>
                      <w:highlight w:val="none"/>
                      <w:lang w:eastAsia="zh-CN"/>
                    </w:rPr>
                    <w:t>项目车间整体密闭，车间内设置机械排风设施，经车间通风换气后无组织排放。</w:t>
                  </w:r>
                </w:p>
              </w:tc>
              <w:tc>
                <w:tcPr>
                  <w:tcW w:w="916" w:type="pct"/>
                  <w:noWrap w:val="0"/>
                  <w:vAlign w:val="center"/>
                </w:tcPr>
                <w:p w14:paraId="1FEFFD64">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4"/>
                      <w:sz w:val="21"/>
                      <w:szCs w:val="21"/>
                      <w:lang w:val="en-US" w:eastAsia="zh-CN" w:bidi="ar-SA"/>
                    </w:rPr>
                  </w:pPr>
                  <w:r>
                    <w:rPr>
                      <w:rFonts w:hint="eastAsia" w:cs="Times New Roman"/>
                      <w:color w:val="auto"/>
                      <w:kern w:val="24"/>
                      <w:sz w:val="21"/>
                      <w:szCs w:val="21"/>
                      <w:lang w:val="en-US" w:eastAsia="zh-CN" w:bidi="ar-SA"/>
                    </w:rPr>
                    <w:t>新建</w:t>
                  </w:r>
                </w:p>
              </w:tc>
            </w:tr>
            <w:tr w14:paraId="2FE6C6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85" w:type="pct"/>
                  <w:vMerge w:val="continue"/>
                  <w:noWrap w:val="0"/>
                  <w:vAlign w:val="center"/>
                </w:tcPr>
                <w:p w14:paraId="2A0351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p>
              </w:tc>
              <w:tc>
                <w:tcPr>
                  <w:tcW w:w="939" w:type="pct"/>
                  <w:gridSpan w:val="2"/>
                  <w:noWrap w:val="0"/>
                  <w:vAlign w:val="center"/>
                </w:tcPr>
                <w:p w14:paraId="5D7F0DD4">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噪声</w:t>
                  </w:r>
                </w:p>
              </w:tc>
              <w:tc>
                <w:tcPr>
                  <w:tcW w:w="2758" w:type="pct"/>
                  <w:noWrap w:val="0"/>
                  <w:vAlign w:val="center"/>
                </w:tcPr>
                <w:p w14:paraId="219B146D">
                  <w:pPr>
                    <w:pStyle w:val="53"/>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rPr>
                    <w:t>厂房隔声、基础减振</w:t>
                  </w:r>
                  <w:r>
                    <w:rPr>
                      <w:rFonts w:hint="eastAsia"/>
                      <w:color w:val="auto"/>
                      <w:sz w:val="21"/>
                      <w:szCs w:val="21"/>
                      <w:lang w:eastAsia="zh-CN"/>
                    </w:rPr>
                    <w:t>。</w:t>
                  </w:r>
                </w:p>
              </w:tc>
              <w:tc>
                <w:tcPr>
                  <w:tcW w:w="916" w:type="pct"/>
                  <w:noWrap w:val="0"/>
                  <w:vAlign w:val="center"/>
                </w:tcPr>
                <w:p w14:paraId="252D56D0">
                  <w:pPr>
                    <w:pStyle w:val="53"/>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olor w:val="auto"/>
                      <w:kern w:val="2"/>
                      <w:sz w:val="21"/>
                      <w:szCs w:val="21"/>
                      <w:highlight w:val="none"/>
                      <w:lang w:eastAsia="zh-CN"/>
                    </w:rPr>
                    <w:t>新</w:t>
                  </w:r>
                  <w:r>
                    <w:rPr>
                      <w:rFonts w:hint="eastAsia"/>
                      <w:color w:val="auto"/>
                      <w:kern w:val="2"/>
                      <w:sz w:val="21"/>
                      <w:szCs w:val="21"/>
                      <w:highlight w:val="none"/>
                    </w:rPr>
                    <w:t>建</w:t>
                  </w:r>
                </w:p>
              </w:tc>
            </w:tr>
            <w:tr w14:paraId="6BEE9D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5" w:type="pct"/>
                  <w:vMerge w:val="continue"/>
                  <w:noWrap w:val="0"/>
                  <w:vAlign w:val="center"/>
                </w:tcPr>
                <w:p w14:paraId="74D6EB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p>
              </w:tc>
              <w:tc>
                <w:tcPr>
                  <w:tcW w:w="447" w:type="pct"/>
                  <w:vMerge w:val="restart"/>
                  <w:noWrap w:val="0"/>
                  <w:vAlign w:val="center"/>
                </w:tcPr>
                <w:p w14:paraId="736CB128">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固体废物</w:t>
                  </w:r>
                </w:p>
              </w:tc>
              <w:tc>
                <w:tcPr>
                  <w:tcW w:w="492" w:type="pct"/>
                  <w:noWrap w:val="0"/>
                  <w:vAlign w:val="center"/>
                </w:tcPr>
                <w:p w14:paraId="3BA46B38">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一般固废暂存间</w:t>
                  </w:r>
                </w:p>
              </w:tc>
              <w:tc>
                <w:tcPr>
                  <w:tcW w:w="2758" w:type="pct"/>
                  <w:noWrap w:val="0"/>
                  <w:vAlign w:val="center"/>
                </w:tcPr>
                <w:p w14:paraId="1F8FF50B">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设置1间一般固废暂存间，占地</w:t>
                  </w:r>
                  <w:r>
                    <w:rPr>
                      <w:rFonts w:hint="default" w:ascii="Times New Roman" w:hAnsi="Times New Roman" w:cs="Times New Roman"/>
                      <w:color w:val="auto"/>
                      <w:kern w:val="2"/>
                      <w:sz w:val="21"/>
                      <w:szCs w:val="21"/>
                      <w:highlight w:val="none"/>
                      <w:lang w:val="en-US" w:eastAsia="zh-CN" w:bidi="ar-SA"/>
                    </w:rPr>
                    <w:t>面积</w:t>
                  </w:r>
                  <w:r>
                    <w:rPr>
                      <w:rFonts w:hint="eastAsia" w:ascii="Times New Roman" w:hAnsi="Times New Roman" w:cs="Times New Roman"/>
                      <w:color w:val="auto"/>
                      <w:kern w:val="2"/>
                      <w:sz w:val="21"/>
                      <w:szCs w:val="21"/>
                      <w:highlight w:val="none"/>
                      <w:lang w:val="en-US" w:eastAsia="zh-CN" w:bidi="ar-SA"/>
                    </w:rPr>
                    <w:t>约</w:t>
                  </w:r>
                  <w:r>
                    <w:rPr>
                      <w:rFonts w:hint="eastAsia" w:cs="Times New Roman"/>
                      <w:color w:val="auto"/>
                      <w:kern w:val="2"/>
                      <w:sz w:val="21"/>
                      <w:szCs w:val="21"/>
                      <w:highlight w:val="none"/>
                      <w:lang w:val="en-US" w:eastAsia="zh-CN" w:bidi="ar-SA"/>
                    </w:rPr>
                    <w:t>8</w:t>
                  </w:r>
                  <w:r>
                    <w:rPr>
                      <w:rFonts w:hint="default" w:ascii="Times New Roman" w:hAnsi="Times New Roman" w:cs="Times New Roman"/>
                      <w:color w:val="auto"/>
                      <w:kern w:val="2"/>
                      <w:sz w:val="21"/>
                      <w:szCs w:val="21"/>
                      <w:highlight w:val="none"/>
                      <w:lang w:val="en-US" w:eastAsia="zh-CN" w:bidi="ar-SA"/>
                    </w:rPr>
                    <w:t>m</w:t>
                  </w:r>
                  <w:r>
                    <w:rPr>
                      <w:rFonts w:hint="default" w:ascii="Times New Roman" w:hAnsi="Times New Roman" w:cs="Times New Roman"/>
                      <w:color w:val="auto"/>
                      <w:kern w:val="2"/>
                      <w:sz w:val="21"/>
                      <w:szCs w:val="21"/>
                      <w:highlight w:val="none"/>
                      <w:vertAlign w:val="superscript"/>
                      <w:lang w:val="en-US" w:eastAsia="zh-CN" w:bidi="ar-SA"/>
                    </w:rPr>
                    <w:t>2</w:t>
                  </w:r>
                  <w:r>
                    <w:rPr>
                      <w:rFonts w:hint="default" w:ascii="Times New Roman" w:hAnsi="Times New Roman" w:cs="Times New Roman"/>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bidi="ar-SA"/>
                    </w:rPr>
                    <w:t>用于暂存运营过程中产生的一般固废，如：废包装材料、废滤料、滤芯、RO膜等；废包装材料统一收集后及时外售给废品收购站；定期更换的废滤料、滤芯、RO膜等由供应商进行回收处理再利用；过滤残渣</w:t>
                  </w:r>
                  <w:r>
                    <w:rPr>
                      <w:rFonts w:hint="eastAsia" w:cs="Times New Roman"/>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rPr>
                    <w:t>废烂果品</w:t>
                  </w:r>
                  <w:r>
                    <w:rPr>
                      <w:rFonts w:hint="eastAsia" w:ascii="Times New Roman" w:hAnsi="Times New Roman" w:cs="Times New Roman"/>
                      <w:color w:val="auto"/>
                      <w:kern w:val="2"/>
                      <w:sz w:val="21"/>
                      <w:szCs w:val="21"/>
                      <w:highlight w:val="none"/>
                      <w:lang w:val="en-US" w:eastAsia="zh-CN" w:bidi="ar-SA"/>
                    </w:rPr>
                    <w:t>暂存在带盖塑料桶内，及时外售给养殖场作为饲料，日产日清</w:t>
                  </w:r>
                  <w:r>
                    <w:rPr>
                      <w:rFonts w:hint="eastAsia" w:cs="Times New Roman"/>
                      <w:color w:val="auto"/>
                      <w:kern w:val="2"/>
                      <w:sz w:val="21"/>
                      <w:szCs w:val="21"/>
                      <w:highlight w:val="none"/>
                      <w:lang w:val="en-US" w:eastAsia="zh-CN" w:bidi="ar-SA"/>
                    </w:rPr>
                    <w:t>。</w:t>
                  </w:r>
                </w:p>
              </w:tc>
              <w:tc>
                <w:tcPr>
                  <w:tcW w:w="916" w:type="pct"/>
                  <w:noWrap w:val="0"/>
                  <w:vAlign w:val="center"/>
                </w:tcPr>
                <w:p w14:paraId="640D62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olor w:val="auto"/>
                      <w:kern w:val="2"/>
                      <w:sz w:val="21"/>
                      <w:szCs w:val="21"/>
                      <w:highlight w:val="none"/>
                    </w:rPr>
                    <w:t>新建</w:t>
                  </w:r>
                </w:p>
              </w:tc>
            </w:tr>
            <w:tr w14:paraId="2736FE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385" w:type="pct"/>
                  <w:vMerge w:val="continue"/>
                  <w:noWrap w:val="0"/>
                  <w:vAlign w:val="center"/>
                </w:tcPr>
                <w:p w14:paraId="7CBDA6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bookmarkStart w:id="15" w:name="OLE_LINK48" w:colFirst="2" w:colLast="2"/>
                </w:p>
              </w:tc>
              <w:tc>
                <w:tcPr>
                  <w:tcW w:w="447" w:type="pct"/>
                  <w:vMerge w:val="continue"/>
                  <w:noWrap w:val="0"/>
                  <w:vAlign w:val="center"/>
                </w:tcPr>
                <w:p w14:paraId="090C23D8">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492" w:type="pct"/>
                  <w:noWrap w:val="0"/>
                  <w:vAlign w:val="center"/>
                </w:tcPr>
                <w:p w14:paraId="6CD37A90">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危险废物</w:t>
                  </w:r>
                </w:p>
              </w:tc>
              <w:tc>
                <w:tcPr>
                  <w:tcW w:w="2758" w:type="pct"/>
                  <w:noWrap w:val="0"/>
                  <w:vAlign w:val="center"/>
                </w:tcPr>
                <w:p w14:paraId="76FEBA8E">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
                      <w:sz w:val="21"/>
                      <w:szCs w:val="21"/>
                      <w:highlight w:val="none"/>
                      <w:lang w:val="en-US" w:eastAsia="zh-CN" w:bidi="ar-SA"/>
                    </w:rPr>
                  </w:pPr>
                  <w:r>
                    <w:rPr>
                      <w:rFonts w:hint="eastAsia" w:cs="Times New Roman"/>
                      <w:color w:val="auto"/>
                      <w:sz w:val="21"/>
                      <w:szCs w:val="21"/>
                      <w:lang w:val="en-US" w:eastAsia="zh-CN"/>
                    </w:rPr>
                    <w:t>试验</w:t>
                  </w:r>
                  <w:r>
                    <w:rPr>
                      <w:rFonts w:hint="eastAsia" w:ascii="Times New Roman" w:hAnsi="Times New Roman" w:cs="Times New Roman"/>
                      <w:color w:val="auto"/>
                      <w:sz w:val="21"/>
                      <w:szCs w:val="21"/>
                      <w:lang w:val="en-US" w:eastAsia="zh-CN"/>
                    </w:rPr>
                    <w:t>过程产生的试验废液和设备维修产生的</w:t>
                  </w:r>
                  <w:r>
                    <w:rPr>
                      <w:rFonts w:hint="eastAsia" w:ascii="Times New Roman" w:hAnsi="Times New Roman" w:cs="Times New Roman"/>
                      <w:color w:val="auto"/>
                      <w:kern w:val="2"/>
                      <w:sz w:val="21"/>
                      <w:szCs w:val="21"/>
                      <w:highlight w:val="none"/>
                      <w:lang w:val="en-US" w:eastAsia="zh-CN" w:bidi="ar-SA"/>
                    </w:rPr>
                    <w:t>废机油</w:t>
                  </w:r>
                  <w:r>
                    <w:rPr>
                      <w:rFonts w:hint="eastAsia" w:ascii="Times New Roman" w:hAnsi="Times New Roman" w:cs="Times New Roman"/>
                      <w:color w:val="auto"/>
                      <w:sz w:val="21"/>
                      <w:szCs w:val="21"/>
                      <w:lang w:val="en-US" w:eastAsia="zh-CN"/>
                    </w:rPr>
                    <w:t>属于危险废物，</w:t>
                  </w:r>
                  <w:r>
                    <w:rPr>
                      <w:rFonts w:hint="eastAsia" w:cs="Times New Roman"/>
                      <w:color w:val="auto"/>
                      <w:kern w:val="2"/>
                      <w:sz w:val="21"/>
                      <w:szCs w:val="21"/>
                      <w:highlight w:val="none"/>
                      <w:lang w:val="en-US" w:eastAsia="zh-CN" w:bidi="ar-SA"/>
                    </w:rPr>
                    <w:t>采用密闭周转桶、防渗托盘，与废油桶产生后及时委托有资质单位转运处置，不得在厂内长期暂存</w:t>
                  </w:r>
                  <w:r>
                    <w:rPr>
                      <w:rFonts w:hint="eastAsia" w:ascii="Times New Roman" w:hAnsi="Times New Roman" w:cs="Times New Roman"/>
                      <w:color w:val="auto"/>
                      <w:kern w:val="2"/>
                      <w:sz w:val="21"/>
                      <w:szCs w:val="21"/>
                      <w:highlight w:val="none"/>
                      <w:lang w:val="en-US" w:eastAsia="zh-CN" w:bidi="ar-SA"/>
                    </w:rPr>
                    <w:t>。</w:t>
                  </w:r>
                </w:p>
              </w:tc>
              <w:tc>
                <w:tcPr>
                  <w:tcW w:w="916" w:type="pct"/>
                  <w:noWrap w:val="0"/>
                  <w:vAlign w:val="center"/>
                </w:tcPr>
                <w:p w14:paraId="3A06407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新建</w:t>
                  </w:r>
                </w:p>
              </w:tc>
            </w:tr>
            <w:tr w14:paraId="6C137E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5" w:type="pct"/>
                  <w:vMerge w:val="continue"/>
                  <w:noWrap w:val="0"/>
                  <w:vAlign w:val="center"/>
                </w:tcPr>
                <w:p w14:paraId="71D526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rPr>
                  </w:pPr>
                </w:p>
              </w:tc>
              <w:tc>
                <w:tcPr>
                  <w:tcW w:w="447" w:type="pct"/>
                  <w:vMerge w:val="continue"/>
                  <w:noWrap w:val="0"/>
                  <w:vAlign w:val="center"/>
                </w:tcPr>
                <w:p w14:paraId="645A427A">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492" w:type="pct"/>
                  <w:noWrap w:val="0"/>
                  <w:vAlign w:val="center"/>
                </w:tcPr>
                <w:p w14:paraId="78E201F0">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生活垃圾收集桶</w:t>
                  </w:r>
                </w:p>
              </w:tc>
              <w:tc>
                <w:tcPr>
                  <w:tcW w:w="2758" w:type="pct"/>
                  <w:noWrap w:val="0"/>
                  <w:vAlign w:val="center"/>
                </w:tcPr>
                <w:p w14:paraId="143583DF">
                  <w:pPr>
                    <w:pStyle w:val="5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设置移动式带盖垃圾桶分类集中收集后，委托当地环卫部门定期清运、处置。</w:t>
                  </w:r>
                </w:p>
              </w:tc>
              <w:tc>
                <w:tcPr>
                  <w:tcW w:w="916" w:type="pct"/>
                  <w:noWrap w:val="0"/>
                  <w:vAlign w:val="center"/>
                </w:tcPr>
                <w:p w14:paraId="614029FD">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已建</w:t>
                  </w:r>
                </w:p>
              </w:tc>
            </w:tr>
            <w:bookmarkEnd w:id="15"/>
          </w:tbl>
          <w:p w14:paraId="17A864C5">
            <w:pPr>
              <w:ind w:firstLine="482"/>
              <w:rPr>
                <w:rFonts w:ascii="Times New Roman" w:hAnsi="Times New Roman" w:eastAsia="宋体"/>
                <w:b/>
                <w:bCs/>
                <w:color w:val="auto"/>
                <w:kern w:val="0"/>
                <w:highlight w:val="none"/>
              </w:rPr>
            </w:pPr>
            <w:r>
              <w:rPr>
                <w:rFonts w:hint="eastAsia" w:ascii="Times New Roman" w:hAnsi="Times New Roman" w:eastAsia="宋体"/>
                <w:b/>
                <w:bCs/>
                <w:color w:val="auto"/>
                <w:kern w:val="0"/>
                <w:highlight w:val="none"/>
              </w:rPr>
              <w:t>2.</w:t>
            </w:r>
            <w:r>
              <w:rPr>
                <w:rFonts w:hint="eastAsia"/>
                <w:b/>
                <w:bCs/>
                <w:color w:val="auto"/>
                <w:kern w:val="0"/>
                <w:highlight w:val="none"/>
                <w:lang w:val="en-US" w:eastAsia="zh-CN"/>
              </w:rPr>
              <w:t>3</w:t>
            </w:r>
            <w:r>
              <w:rPr>
                <w:rFonts w:hint="eastAsia" w:ascii="Times New Roman" w:hAnsi="Times New Roman" w:eastAsia="宋体"/>
                <w:b/>
                <w:bCs/>
                <w:color w:val="auto"/>
                <w:kern w:val="0"/>
                <w:highlight w:val="none"/>
              </w:rPr>
              <w:t>.</w:t>
            </w:r>
            <w:r>
              <w:rPr>
                <w:rFonts w:hint="eastAsia"/>
                <w:b/>
                <w:bCs/>
                <w:color w:val="auto"/>
                <w:kern w:val="0"/>
                <w:highlight w:val="none"/>
                <w:lang w:val="en-US" w:eastAsia="zh-CN"/>
              </w:rPr>
              <w:t>2</w:t>
            </w:r>
            <w:r>
              <w:rPr>
                <w:rFonts w:ascii="Times New Roman" w:hAnsi="Times New Roman" w:eastAsia="宋体"/>
                <w:b/>
                <w:bCs/>
                <w:color w:val="auto"/>
                <w:kern w:val="0"/>
                <w:highlight w:val="none"/>
              </w:rPr>
              <w:t>产品方案</w:t>
            </w:r>
          </w:p>
          <w:p w14:paraId="3BAB88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本项目</w:t>
            </w:r>
            <w:r>
              <w:rPr>
                <w:rFonts w:hint="eastAsia" w:ascii="Times New Roman" w:hAnsi="Times New Roman" w:eastAsia="宋体" w:cs="Times New Roman"/>
                <w:color w:val="auto"/>
                <w:sz w:val="24"/>
                <w:szCs w:val="24"/>
                <w:highlight w:val="none"/>
                <w:lang w:val="en-US" w:eastAsia="zh-CN"/>
              </w:rPr>
              <w:t>产品</w:t>
            </w:r>
            <w:r>
              <w:rPr>
                <w:rFonts w:hint="eastAsia" w:cs="Times New Roman"/>
                <w:color w:val="auto"/>
                <w:sz w:val="24"/>
                <w:szCs w:val="24"/>
                <w:highlight w:val="none"/>
                <w:lang w:val="en-US" w:eastAsia="zh-CN"/>
              </w:rPr>
              <w:t>方案</w:t>
            </w:r>
            <w:r>
              <w:rPr>
                <w:rFonts w:hint="eastAsia" w:ascii="Times New Roman" w:hAnsi="Times New Roman" w:eastAsia="宋体" w:cs="Times New Roman"/>
                <w:color w:val="auto"/>
                <w:sz w:val="24"/>
                <w:szCs w:val="24"/>
                <w:highlight w:val="none"/>
                <w:lang w:val="en-US" w:eastAsia="zh-CN"/>
              </w:rPr>
              <w:t>具体见下表：</w:t>
            </w:r>
          </w:p>
          <w:p w14:paraId="3935E0B3">
            <w:pPr>
              <w:spacing w:line="240" w:lineRule="auto"/>
              <w:ind w:firstLine="0" w:firstLineChars="0"/>
              <w:jc w:val="center"/>
              <w:rPr>
                <w:rFonts w:hint="eastAsia" w:ascii="Times New Roman" w:hAnsi="Times New Roman" w:eastAsia="宋体"/>
                <w:b/>
                <w:bCs/>
                <w:color w:val="auto"/>
                <w:kern w:val="0"/>
                <w:sz w:val="21"/>
                <w:szCs w:val="21"/>
                <w:highlight w:val="none"/>
                <w:lang w:val="en-US" w:eastAsia="zh-CN"/>
              </w:rPr>
            </w:pPr>
            <w:bookmarkStart w:id="16" w:name="OLE_LINK212"/>
            <w:r>
              <w:rPr>
                <w:rFonts w:hint="eastAsia" w:ascii="Times New Roman" w:hAnsi="Times New Roman" w:eastAsia="宋体"/>
                <w:b/>
                <w:bCs/>
                <w:color w:val="auto"/>
                <w:kern w:val="0"/>
                <w:sz w:val="21"/>
                <w:szCs w:val="21"/>
                <w:highlight w:val="none"/>
              </w:rPr>
              <w:t>表</w:t>
            </w:r>
            <w:r>
              <w:rPr>
                <w:rFonts w:hint="eastAsia"/>
                <w:b/>
                <w:bCs/>
                <w:color w:val="auto"/>
                <w:kern w:val="0"/>
                <w:sz w:val="21"/>
                <w:szCs w:val="21"/>
                <w:highlight w:val="none"/>
                <w:lang w:val="en-US" w:eastAsia="zh-CN"/>
              </w:rPr>
              <w:t>2-2</w:t>
            </w:r>
            <w:r>
              <w:rPr>
                <w:rFonts w:hint="eastAsia" w:ascii="Times New Roman" w:hAnsi="Times New Roman" w:eastAsia="宋体"/>
                <w:b/>
                <w:bCs/>
                <w:color w:val="auto"/>
                <w:kern w:val="0"/>
                <w:sz w:val="21"/>
                <w:szCs w:val="21"/>
                <w:highlight w:val="none"/>
              </w:rPr>
              <w:t xml:space="preserve"> </w:t>
            </w:r>
            <w:r>
              <w:rPr>
                <w:rFonts w:hint="eastAsia" w:ascii="Times New Roman" w:hAnsi="Times New Roman" w:eastAsia="宋体" w:cs="宋体"/>
                <w:b/>
                <w:color w:val="auto"/>
                <w:kern w:val="0"/>
                <w:sz w:val="21"/>
                <w:szCs w:val="21"/>
                <w:highlight w:val="none"/>
              </w:rPr>
              <w:t>本项目</w:t>
            </w:r>
            <w:r>
              <w:rPr>
                <w:rFonts w:hint="eastAsia" w:ascii="Times New Roman" w:hAnsi="Times New Roman" w:eastAsia="宋体"/>
                <w:b/>
                <w:bCs/>
                <w:color w:val="auto"/>
                <w:kern w:val="0"/>
                <w:sz w:val="21"/>
                <w:szCs w:val="21"/>
                <w:highlight w:val="none"/>
              </w:rPr>
              <w:t>主要产品</w:t>
            </w:r>
            <w:r>
              <w:rPr>
                <w:rFonts w:hint="eastAsia" w:ascii="Times New Roman" w:hAnsi="Times New Roman" w:eastAsia="宋体"/>
                <w:b/>
                <w:bCs/>
                <w:color w:val="auto"/>
                <w:kern w:val="0"/>
                <w:sz w:val="21"/>
                <w:szCs w:val="21"/>
                <w:highlight w:val="none"/>
                <w:lang w:val="en-US" w:eastAsia="zh-CN"/>
              </w:rPr>
              <w:t>方案</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182"/>
              <w:gridCol w:w="3064"/>
              <w:gridCol w:w="3413"/>
            </w:tblGrid>
            <w:tr w14:paraId="666A0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noWrap w:val="0"/>
                  <w:vAlign w:val="center"/>
                </w:tcPr>
                <w:p w14:paraId="73626C8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b/>
                      <w:bCs/>
                      <w:color w:val="auto"/>
                      <w:sz w:val="21"/>
                      <w:szCs w:val="21"/>
                      <w:highlight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名称</w:t>
                  </w:r>
                </w:p>
              </w:tc>
              <w:tc>
                <w:tcPr>
                  <w:tcW w:w="1182" w:type="dxa"/>
                  <w:noWrap w:val="0"/>
                  <w:vAlign w:val="center"/>
                </w:tcPr>
                <w:p w14:paraId="7AE7F23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b/>
                      <w:bCs/>
                      <w:color w:val="auto"/>
                      <w:sz w:val="21"/>
                      <w:szCs w:val="21"/>
                      <w:highlight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年产量</w:t>
                  </w:r>
                  <w:r>
                    <w:rPr>
                      <w:rFonts w:hint="eastAsia" w:ascii="Times New Roman" w:hAnsi="Times New Roman" w:eastAsia="宋体" w:cs="Times New Roman"/>
                      <w:b/>
                      <w:bCs/>
                      <w:i w:val="0"/>
                      <w:iCs w:val="0"/>
                      <w:color w:val="auto"/>
                      <w:kern w:val="0"/>
                      <w:sz w:val="21"/>
                      <w:szCs w:val="21"/>
                      <w:highlight w:val="none"/>
                      <w:u w:val="none"/>
                      <w:lang w:val="en-US" w:eastAsia="zh-CN" w:bidi="ar"/>
                    </w:rPr>
                    <w:t>（</w:t>
                  </w:r>
                  <w:r>
                    <w:rPr>
                      <w:rFonts w:hint="eastAsia" w:ascii="Times New Roman" w:hAnsi="Times New Roman" w:eastAsia="宋体" w:cs="Times New Roman"/>
                      <w:i w:val="0"/>
                      <w:iCs w:val="0"/>
                      <w:color w:val="auto"/>
                      <w:sz w:val="21"/>
                      <w:szCs w:val="21"/>
                      <w:highlight w:val="none"/>
                      <w:u w:val="none"/>
                      <w:lang w:val="en-US" w:eastAsia="zh-CN"/>
                    </w:rPr>
                    <w:t>t</w:t>
                  </w:r>
                  <w:r>
                    <w:rPr>
                      <w:rFonts w:hint="eastAsia" w:ascii="Times New Roman" w:hAnsi="Times New Roman" w:eastAsia="宋体" w:cs="Times New Roman"/>
                      <w:b/>
                      <w:bCs/>
                      <w:i w:val="0"/>
                      <w:iCs w:val="0"/>
                      <w:color w:val="auto"/>
                      <w:kern w:val="0"/>
                      <w:sz w:val="21"/>
                      <w:szCs w:val="21"/>
                      <w:highlight w:val="none"/>
                      <w:u w:val="none"/>
                      <w:lang w:val="en-US" w:eastAsia="zh-CN" w:bidi="ar"/>
                    </w:rPr>
                    <w:t>）</w:t>
                  </w:r>
                </w:p>
              </w:tc>
              <w:tc>
                <w:tcPr>
                  <w:tcW w:w="3064" w:type="dxa"/>
                  <w:noWrap w:val="0"/>
                  <w:vAlign w:val="center"/>
                </w:tcPr>
                <w:p w14:paraId="706A39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bCs/>
                      <w:color w:val="auto"/>
                      <w:sz w:val="21"/>
                      <w:szCs w:val="21"/>
                      <w:highlight w:val="none"/>
                      <w:lang w:eastAsia="zh-CN"/>
                    </w:rPr>
                  </w:pPr>
                  <w:r>
                    <w:rPr>
                      <w:rFonts w:hint="eastAsia" w:ascii="Times New Roman" w:hAnsi="Times New Roman" w:eastAsia="宋体" w:cs="Times New Roman"/>
                      <w:b/>
                      <w:bCs/>
                      <w:i w:val="0"/>
                      <w:iCs w:val="0"/>
                      <w:color w:val="auto"/>
                      <w:kern w:val="0"/>
                      <w:sz w:val="21"/>
                      <w:szCs w:val="21"/>
                      <w:highlight w:val="none"/>
                      <w:u w:val="none"/>
                      <w:lang w:val="en-US" w:eastAsia="zh-CN" w:bidi="ar"/>
                    </w:rPr>
                    <w:t>产品</w:t>
                  </w:r>
                  <w:r>
                    <w:rPr>
                      <w:rFonts w:hint="default" w:ascii="Times New Roman" w:hAnsi="Times New Roman" w:eastAsia="宋体" w:cs="Times New Roman"/>
                      <w:b/>
                      <w:bCs/>
                      <w:i w:val="0"/>
                      <w:iCs w:val="0"/>
                      <w:color w:val="auto"/>
                      <w:kern w:val="0"/>
                      <w:sz w:val="21"/>
                      <w:szCs w:val="21"/>
                      <w:highlight w:val="none"/>
                      <w:u w:val="none"/>
                      <w:lang w:val="en-US" w:eastAsia="zh-CN" w:bidi="ar"/>
                    </w:rPr>
                    <w:t>规格</w:t>
                  </w:r>
                </w:p>
              </w:tc>
              <w:tc>
                <w:tcPr>
                  <w:tcW w:w="3413" w:type="dxa"/>
                  <w:noWrap w:val="0"/>
                  <w:vAlign w:val="center"/>
                </w:tcPr>
                <w:p w14:paraId="619354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bCs/>
                      <w:color w:val="auto"/>
                      <w:sz w:val="21"/>
                      <w:szCs w:val="21"/>
                      <w:highlight w:val="none"/>
                      <w:lang w:eastAsia="zh-CN"/>
                    </w:rPr>
                  </w:pPr>
                  <w:r>
                    <w:rPr>
                      <w:rFonts w:hint="eastAsia" w:ascii="Times New Roman" w:hAnsi="Times New Roman" w:eastAsia="宋体" w:cs="Times New Roman"/>
                      <w:b/>
                      <w:bCs/>
                      <w:i w:val="0"/>
                      <w:iCs w:val="0"/>
                      <w:color w:val="auto"/>
                      <w:kern w:val="0"/>
                      <w:sz w:val="21"/>
                      <w:szCs w:val="21"/>
                      <w:highlight w:val="none"/>
                      <w:u w:val="none"/>
                      <w:lang w:val="en-US" w:eastAsia="zh-CN" w:bidi="ar"/>
                    </w:rPr>
                    <w:t>备注</w:t>
                  </w:r>
                </w:p>
              </w:tc>
            </w:tr>
            <w:tr w14:paraId="110BD6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0" w:type="auto"/>
                  <w:noWrap w:val="0"/>
                  <w:vAlign w:val="center"/>
                </w:tcPr>
                <w:p w14:paraId="46D6372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olor w:val="auto"/>
                      <w:sz w:val="21"/>
                      <w:szCs w:val="21"/>
                      <w:highlight w:val="none"/>
                      <w:lang w:val="en-US" w:eastAsia="zh-CN"/>
                    </w:rPr>
                  </w:pPr>
                  <w:r>
                    <w:rPr>
                      <w:rFonts w:hint="eastAsia" w:ascii="Times New Roman" w:hAnsi="Times New Roman" w:cs="Times New Roman"/>
                      <w:i w:val="0"/>
                      <w:iCs w:val="0"/>
                      <w:color w:val="auto"/>
                      <w:kern w:val="0"/>
                      <w:sz w:val="21"/>
                      <w:szCs w:val="21"/>
                      <w:highlight w:val="none"/>
                      <w:u w:val="none"/>
                      <w:lang w:val="en-US" w:eastAsia="zh-CN" w:bidi="ar"/>
                    </w:rPr>
                    <w:t>山茱萸</w:t>
                  </w:r>
                  <w:r>
                    <w:rPr>
                      <w:rFonts w:hint="eastAsia" w:cs="Times New Roman"/>
                      <w:i w:val="0"/>
                      <w:iCs w:val="0"/>
                      <w:color w:val="auto"/>
                      <w:kern w:val="0"/>
                      <w:sz w:val="21"/>
                      <w:szCs w:val="21"/>
                      <w:highlight w:val="none"/>
                      <w:u w:val="none"/>
                      <w:lang w:val="en-US" w:eastAsia="zh-CN" w:bidi="ar"/>
                    </w:rPr>
                    <w:t>发酵</w:t>
                  </w:r>
                  <w:r>
                    <w:rPr>
                      <w:rFonts w:hint="default" w:ascii="Times New Roman" w:hAnsi="Times New Roman" w:eastAsia="宋体" w:cs="Times New Roman"/>
                      <w:i w:val="0"/>
                      <w:iCs w:val="0"/>
                      <w:color w:val="auto"/>
                      <w:kern w:val="0"/>
                      <w:sz w:val="21"/>
                      <w:szCs w:val="21"/>
                      <w:highlight w:val="none"/>
                      <w:u w:val="none"/>
                      <w:lang w:val="en-US" w:eastAsia="zh-CN" w:bidi="ar"/>
                    </w:rPr>
                    <w:t>酒</w:t>
                  </w:r>
                </w:p>
              </w:tc>
              <w:tc>
                <w:tcPr>
                  <w:tcW w:w="1182" w:type="dxa"/>
                  <w:noWrap w:val="0"/>
                  <w:vAlign w:val="center"/>
                </w:tcPr>
                <w:p w14:paraId="584D1CF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b w:val="0"/>
                      <w:bCs w:val="0"/>
                      <w:color w:val="auto"/>
                      <w:sz w:val="21"/>
                      <w:szCs w:val="21"/>
                      <w:highlight w:val="none"/>
                      <w:lang w:eastAsia="zh-CN"/>
                    </w:rPr>
                  </w:pPr>
                  <w:r>
                    <w:rPr>
                      <w:rFonts w:hint="eastAsia" w:cs="Times New Roman"/>
                      <w:i w:val="0"/>
                      <w:iCs w:val="0"/>
                      <w:color w:val="auto"/>
                      <w:sz w:val="21"/>
                      <w:szCs w:val="21"/>
                      <w:highlight w:val="none"/>
                      <w:u w:val="none"/>
                      <w:lang w:val="en-US" w:eastAsia="zh-CN"/>
                    </w:rPr>
                    <w:t>13</w:t>
                  </w:r>
                  <w:r>
                    <w:rPr>
                      <w:rFonts w:hint="eastAsia" w:ascii="Times New Roman" w:hAnsi="Times New Roman" w:eastAsia="宋体" w:cs="Times New Roman"/>
                      <w:i w:val="0"/>
                      <w:iCs w:val="0"/>
                      <w:color w:val="auto"/>
                      <w:sz w:val="21"/>
                      <w:szCs w:val="21"/>
                      <w:highlight w:val="none"/>
                      <w:u w:val="none"/>
                      <w:lang w:val="en-US" w:eastAsia="zh-CN"/>
                    </w:rPr>
                    <w:t>0</w:t>
                  </w:r>
                </w:p>
              </w:tc>
              <w:tc>
                <w:tcPr>
                  <w:tcW w:w="3064" w:type="dxa"/>
                  <w:noWrap w:val="0"/>
                  <w:vAlign w:val="center"/>
                </w:tcPr>
                <w:p w14:paraId="7CC069C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color w:val="auto"/>
                      <w:sz w:val="21"/>
                      <w:szCs w:val="21"/>
                      <w:highlight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187mL/瓶、500mL/瓶、750mL/瓶</w:t>
                  </w:r>
                </w:p>
              </w:tc>
              <w:tc>
                <w:tcPr>
                  <w:tcW w:w="3413" w:type="dxa"/>
                  <w:noWrap w:val="0"/>
                  <w:vAlign w:val="center"/>
                </w:tcPr>
                <w:p w14:paraId="28F009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b w:val="0"/>
                      <w:bCs w:val="0"/>
                      <w:color w:val="auto"/>
                      <w:sz w:val="21"/>
                      <w:szCs w:val="21"/>
                      <w:highlight w:val="none"/>
                      <w:lang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玻璃瓶装，酒精浓度为12%Vol</w:t>
                  </w:r>
                </w:p>
              </w:tc>
            </w:tr>
            <w:tr w14:paraId="238991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56" w:type="dxa"/>
                  <w:noWrap w:val="0"/>
                  <w:vAlign w:val="center"/>
                </w:tcPr>
                <w:p w14:paraId="6B80E4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color w:val="auto"/>
                      <w:sz w:val="21"/>
                      <w:szCs w:val="21"/>
                      <w:highlight w:val="none"/>
                      <w:lang w:val="en-US" w:eastAsia="zh-CN"/>
                    </w:rPr>
                    <w:t>山茱萸脱醇酒</w:t>
                  </w:r>
                </w:p>
              </w:tc>
              <w:tc>
                <w:tcPr>
                  <w:tcW w:w="1182" w:type="dxa"/>
                  <w:noWrap w:val="0"/>
                  <w:vAlign w:val="center"/>
                </w:tcPr>
                <w:p w14:paraId="1E46F3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i w:val="0"/>
                      <w:i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lang w:val="en-US" w:eastAsia="zh-CN"/>
                    </w:rPr>
                    <w:t>50</w:t>
                  </w:r>
                </w:p>
              </w:tc>
              <w:tc>
                <w:tcPr>
                  <w:tcW w:w="3064" w:type="dxa"/>
                  <w:noWrap w:val="0"/>
                  <w:vAlign w:val="center"/>
                </w:tcPr>
                <w:p w14:paraId="34A406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500mL/瓶、750mL/瓶</w:t>
                  </w:r>
                </w:p>
              </w:tc>
              <w:tc>
                <w:tcPr>
                  <w:tcW w:w="3413" w:type="dxa"/>
                  <w:noWrap w:val="0"/>
                  <w:vAlign w:val="center"/>
                </w:tcPr>
                <w:p w14:paraId="17C0D4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玻璃瓶装，酒精浓度≤</w:t>
                  </w:r>
                  <w:r>
                    <w:rPr>
                      <w:rFonts w:hint="eastAsia" w:cs="Times New Roman"/>
                      <w:i w:val="0"/>
                      <w:iCs w:val="0"/>
                      <w:color w:val="auto"/>
                      <w:kern w:val="0"/>
                      <w:sz w:val="21"/>
                      <w:szCs w:val="21"/>
                      <w:highlight w:val="none"/>
                      <w:u w:val="none"/>
                      <w:lang w:val="en-US" w:eastAsia="zh-CN" w:bidi="ar"/>
                    </w:rPr>
                    <w:t>0.</w:t>
                  </w:r>
                  <w:r>
                    <w:rPr>
                      <w:rFonts w:hint="eastAsia" w:ascii="Times New Roman" w:hAnsi="Times New Roman" w:eastAsia="宋体" w:cs="Times New Roman"/>
                      <w:i w:val="0"/>
                      <w:iCs w:val="0"/>
                      <w:color w:val="auto"/>
                      <w:kern w:val="0"/>
                      <w:sz w:val="21"/>
                      <w:szCs w:val="21"/>
                      <w:highlight w:val="none"/>
                      <w:u w:val="none"/>
                      <w:lang w:val="en-US" w:eastAsia="zh-CN" w:bidi="ar"/>
                    </w:rPr>
                    <w:t>5%Vol</w:t>
                  </w:r>
                </w:p>
              </w:tc>
            </w:tr>
            <w:tr w14:paraId="4201FF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56" w:type="dxa"/>
                  <w:noWrap w:val="0"/>
                  <w:vAlign w:val="center"/>
                </w:tcPr>
                <w:p w14:paraId="24D81F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FF0000"/>
                      <w:sz w:val="21"/>
                      <w:szCs w:val="21"/>
                      <w:highlight w:val="none"/>
                      <w:lang w:val="en-US" w:eastAsia="zh-CN"/>
                    </w:rPr>
                  </w:pPr>
                  <w:r>
                    <w:rPr>
                      <w:rFonts w:hint="eastAsia" w:cs="Times New Roman"/>
                      <w:color w:val="FF0000"/>
                      <w:sz w:val="21"/>
                      <w:szCs w:val="21"/>
                      <w:highlight w:val="none"/>
                      <w:lang w:val="en-US" w:eastAsia="zh-CN"/>
                    </w:rPr>
                    <w:t>脱醇冷凝粗酒精液</w:t>
                  </w:r>
                </w:p>
              </w:tc>
              <w:tc>
                <w:tcPr>
                  <w:tcW w:w="1182" w:type="dxa"/>
                  <w:noWrap w:val="0"/>
                  <w:vAlign w:val="center"/>
                </w:tcPr>
                <w:p w14:paraId="55319E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sz w:val="21"/>
                      <w:szCs w:val="21"/>
                      <w:highlight w:val="none"/>
                      <w:lang w:val="en-US" w:eastAsia="zh-CN"/>
                    </w:rPr>
                  </w:pPr>
                  <w:r>
                    <w:rPr>
                      <w:rFonts w:hint="eastAsia" w:cs="Times New Roman"/>
                      <w:b w:val="0"/>
                      <w:bCs w:val="0"/>
                      <w:color w:val="FF0000"/>
                      <w:sz w:val="21"/>
                      <w:szCs w:val="21"/>
                      <w:highlight w:val="none"/>
                      <w:lang w:val="en-US" w:eastAsia="zh-CN"/>
                    </w:rPr>
                    <w:t>20</w:t>
                  </w:r>
                </w:p>
              </w:tc>
              <w:tc>
                <w:tcPr>
                  <w:tcW w:w="3064" w:type="dxa"/>
                  <w:noWrap w:val="0"/>
                  <w:vAlign w:val="center"/>
                </w:tcPr>
                <w:p w14:paraId="7C338A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i w:val="0"/>
                      <w:iCs w:val="0"/>
                      <w:color w:val="FF0000"/>
                      <w:kern w:val="0"/>
                      <w:sz w:val="21"/>
                      <w:szCs w:val="21"/>
                      <w:highlight w:val="none"/>
                      <w:u w:val="none"/>
                      <w:lang w:val="en-US" w:eastAsia="zh-CN" w:bidi="ar"/>
                    </w:rPr>
                  </w:pPr>
                  <w:r>
                    <w:rPr>
                      <w:rFonts w:hint="eastAsia" w:cs="Times New Roman"/>
                      <w:i w:val="0"/>
                      <w:iCs w:val="0"/>
                      <w:color w:val="FF0000"/>
                      <w:kern w:val="0"/>
                      <w:sz w:val="21"/>
                      <w:szCs w:val="21"/>
                      <w:highlight w:val="none"/>
                      <w:u w:val="none"/>
                      <w:lang w:val="en-US" w:eastAsia="zh-CN" w:bidi="ar"/>
                    </w:rPr>
                    <w:t>/</w:t>
                  </w:r>
                </w:p>
              </w:tc>
              <w:tc>
                <w:tcPr>
                  <w:tcW w:w="3413" w:type="dxa"/>
                  <w:noWrap w:val="0"/>
                  <w:vAlign w:val="center"/>
                </w:tcPr>
                <w:p w14:paraId="47F6D0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i w:val="0"/>
                      <w:iCs w:val="0"/>
                      <w:color w:val="FF0000"/>
                      <w:kern w:val="0"/>
                      <w:sz w:val="21"/>
                      <w:szCs w:val="21"/>
                      <w:highlight w:val="none"/>
                      <w:u w:val="none"/>
                      <w:lang w:val="en-US" w:eastAsia="zh-CN" w:bidi="ar"/>
                    </w:rPr>
                  </w:pPr>
                  <w:r>
                    <w:rPr>
                      <w:rFonts w:hint="eastAsia" w:cs="Times New Roman"/>
                      <w:i w:val="0"/>
                      <w:iCs w:val="0"/>
                      <w:color w:val="FF0000"/>
                      <w:kern w:val="0"/>
                      <w:sz w:val="21"/>
                      <w:szCs w:val="21"/>
                      <w:highlight w:val="none"/>
                      <w:u w:val="none"/>
                      <w:lang w:val="en-US" w:eastAsia="zh-CN" w:bidi="ar"/>
                    </w:rPr>
                    <w:t>外销副产品，</w:t>
                  </w:r>
                  <w:r>
                    <w:rPr>
                      <w:rFonts w:hint="eastAsia" w:ascii="Times New Roman" w:hAnsi="Times New Roman" w:eastAsia="宋体" w:cs="Times New Roman"/>
                      <w:i w:val="0"/>
                      <w:iCs w:val="0"/>
                      <w:color w:val="FF0000"/>
                      <w:kern w:val="0"/>
                      <w:sz w:val="21"/>
                      <w:szCs w:val="21"/>
                      <w:highlight w:val="none"/>
                      <w:u w:val="none"/>
                      <w:lang w:val="en-US" w:eastAsia="zh-CN" w:bidi="ar"/>
                    </w:rPr>
                    <w:t>酒精浓度为</w:t>
                  </w:r>
                  <w:r>
                    <w:rPr>
                      <w:rFonts w:hint="eastAsia" w:cs="Times New Roman"/>
                      <w:i w:val="0"/>
                      <w:iCs w:val="0"/>
                      <w:color w:val="FF0000"/>
                      <w:kern w:val="0"/>
                      <w:sz w:val="21"/>
                      <w:szCs w:val="21"/>
                      <w:highlight w:val="none"/>
                      <w:u w:val="none"/>
                      <w:lang w:val="en-US" w:eastAsia="zh-CN" w:bidi="ar"/>
                    </w:rPr>
                    <w:t>40</w:t>
                  </w:r>
                  <w:r>
                    <w:rPr>
                      <w:rFonts w:hint="eastAsia" w:ascii="Times New Roman" w:hAnsi="Times New Roman" w:eastAsia="宋体" w:cs="Times New Roman"/>
                      <w:i w:val="0"/>
                      <w:iCs w:val="0"/>
                      <w:color w:val="FF0000"/>
                      <w:kern w:val="0"/>
                      <w:sz w:val="21"/>
                      <w:szCs w:val="21"/>
                      <w:highlight w:val="none"/>
                      <w:u w:val="none"/>
                      <w:lang w:val="en-US" w:eastAsia="zh-CN" w:bidi="ar"/>
                    </w:rPr>
                    <w:t>%Vol</w:t>
                  </w:r>
                </w:p>
              </w:tc>
            </w:tr>
            <w:bookmarkEnd w:id="16"/>
          </w:tbl>
          <w:p w14:paraId="4AAFF6AE">
            <w:pPr>
              <w:ind w:firstLine="482"/>
              <w:rPr>
                <w:rFonts w:hint="default" w:ascii="Times New Roman" w:hAnsi="Times New Roman" w:eastAsia="宋体"/>
                <w:b w:val="0"/>
                <w:bCs w:val="0"/>
                <w:color w:val="auto"/>
                <w:kern w:val="0"/>
                <w:highlight w:val="none"/>
                <w:lang w:val="en-US" w:eastAsia="zh-CN"/>
              </w:rPr>
            </w:pPr>
            <w:r>
              <w:rPr>
                <w:rFonts w:hint="eastAsia"/>
                <w:b w:val="0"/>
                <w:bCs w:val="0"/>
                <w:color w:val="auto"/>
                <w:kern w:val="0"/>
                <w:highlight w:val="none"/>
                <w:lang w:eastAsia="zh-CN"/>
              </w:rPr>
              <w:t>根据《饮料酒术语和分类》（</w:t>
            </w:r>
            <w:r>
              <w:rPr>
                <w:rFonts w:hint="eastAsia"/>
                <w:b w:val="0"/>
                <w:bCs w:val="0"/>
                <w:color w:val="auto"/>
                <w:kern w:val="0"/>
                <w:highlight w:val="none"/>
                <w:lang w:val="en-US" w:eastAsia="zh-CN"/>
              </w:rPr>
              <w:t>GB/T17204-2021），项目果酒属于“3.5果酒（发酵型）以水果或果汁（浆）为主要原料，经全部或部分酒精发酵酿制而成的，含有一定酒精度的发酵酒。项目产品标准执行《食品安全国家标准 发酵酒及其配制酒》（GB2758-2012）相关要求。</w:t>
            </w:r>
          </w:p>
          <w:p w14:paraId="0C4C32D2">
            <w:pPr>
              <w:ind w:firstLine="482"/>
              <w:rPr>
                <w:rFonts w:ascii="Times New Roman" w:hAnsi="Times New Roman" w:eastAsia="宋体"/>
                <w:b/>
                <w:bCs/>
                <w:color w:val="auto"/>
                <w:kern w:val="0"/>
                <w:highlight w:val="none"/>
              </w:rPr>
            </w:pPr>
            <w:r>
              <w:rPr>
                <w:rFonts w:hint="eastAsia" w:ascii="Times New Roman" w:hAnsi="Times New Roman" w:eastAsia="宋体"/>
                <w:b/>
                <w:bCs/>
                <w:color w:val="auto"/>
                <w:kern w:val="0"/>
                <w:highlight w:val="none"/>
              </w:rPr>
              <w:t>2.</w:t>
            </w:r>
            <w:r>
              <w:rPr>
                <w:rFonts w:hint="eastAsia"/>
                <w:b/>
                <w:bCs/>
                <w:color w:val="auto"/>
                <w:kern w:val="0"/>
                <w:highlight w:val="none"/>
                <w:lang w:val="en-US" w:eastAsia="zh-CN"/>
              </w:rPr>
              <w:t>3</w:t>
            </w:r>
            <w:r>
              <w:rPr>
                <w:rFonts w:hint="eastAsia" w:ascii="Times New Roman" w:hAnsi="Times New Roman" w:eastAsia="宋体"/>
                <w:b/>
                <w:bCs/>
                <w:color w:val="auto"/>
                <w:kern w:val="0"/>
                <w:highlight w:val="none"/>
              </w:rPr>
              <w:t>.</w:t>
            </w:r>
            <w:r>
              <w:rPr>
                <w:rFonts w:hint="eastAsia"/>
                <w:b/>
                <w:bCs/>
                <w:color w:val="auto"/>
                <w:kern w:val="0"/>
                <w:highlight w:val="none"/>
                <w:lang w:val="en-US" w:eastAsia="zh-CN"/>
              </w:rPr>
              <w:t xml:space="preserve">3 </w:t>
            </w:r>
            <w:r>
              <w:rPr>
                <w:rFonts w:ascii="Times New Roman" w:hAnsi="Times New Roman" w:eastAsia="宋体"/>
                <w:b/>
                <w:bCs/>
                <w:color w:val="auto"/>
                <w:kern w:val="0"/>
                <w:highlight w:val="none"/>
              </w:rPr>
              <w:t>项目原辅材料消耗及能源消耗</w:t>
            </w:r>
          </w:p>
          <w:p w14:paraId="49D01704">
            <w:pPr>
              <w:adjustRightInd w:val="0"/>
              <w:snapToGrid w:val="0"/>
              <w:ind w:firstLine="480" w:firstLineChars="200"/>
              <w:rPr>
                <w:rFonts w:hint="default" w:ascii="Times New Roman" w:hAnsi="Times New Roman" w:eastAsia="宋体" w:cs="Times New Roman"/>
                <w:color w:val="auto"/>
                <w:sz w:val="24"/>
                <w:szCs w:val="24"/>
                <w:highlight w:val="none"/>
                <w:lang w:val="en-US" w:eastAsia="zh-CN"/>
              </w:rPr>
            </w:pPr>
            <w:bookmarkStart w:id="17" w:name="OLE_LINK81"/>
            <w:r>
              <w:rPr>
                <w:rFonts w:hint="default" w:ascii="Times New Roman" w:hAnsi="Times New Roman" w:eastAsia="宋体" w:cs="Times New Roman"/>
                <w:bCs/>
                <w:color w:val="auto"/>
                <w:kern w:val="0"/>
                <w:sz w:val="24"/>
              </w:rPr>
              <w:t>本项目生产使用的原料主要为</w:t>
            </w:r>
            <w:r>
              <w:rPr>
                <w:rFonts w:hint="eastAsia" w:ascii="Times New Roman" w:hAnsi="Times New Roman"/>
                <w:color w:val="auto"/>
                <w:lang w:val="en-US" w:eastAsia="zh-CN"/>
              </w:rPr>
              <w:t>山萸肉</w:t>
            </w:r>
            <w:r>
              <w:rPr>
                <w:rFonts w:hint="eastAsia" w:ascii="Times New Roman" w:hAnsi="Times New Roman" w:eastAsia="宋体" w:cs="Times New Roman"/>
                <w:bCs/>
                <w:color w:val="auto"/>
                <w:kern w:val="0"/>
                <w:sz w:val="24"/>
                <w:lang w:val="en-US" w:eastAsia="zh-CN"/>
              </w:rPr>
              <w:t>，辅料为白砂糖、酵母等</w:t>
            </w:r>
            <w:r>
              <w:rPr>
                <w:rFonts w:hint="eastAsia"/>
                <w:color w:val="auto"/>
                <w:kern w:val="0"/>
                <w:sz w:val="24"/>
                <w:highlight w:val="none"/>
              </w:rPr>
              <w:t>。</w:t>
            </w:r>
            <w:r>
              <w:rPr>
                <w:rFonts w:hint="eastAsia" w:cs="Times New Roman"/>
                <w:color w:val="auto"/>
                <w:sz w:val="24"/>
                <w:szCs w:val="24"/>
                <w:highlight w:val="none"/>
                <w:lang w:val="en-US" w:eastAsia="zh-CN"/>
              </w:rPr>
              <w:t>本项目</w:t>
            </w:r>
            <w:r>
              <w:rPr>
                <w:rFonts w:hint="eastAsia" w:ascii="Times New Roman" w:hAnsi="Times New Roman" w:eastAsia="宋体" w:cs="Times New Roman"/>
                <w:color w:val="auto"/>
                <w:sz w:val="24"/>
                <w:szCs w:val="24"/>
                <w:highlight w:val="none"/>
                <w:lang w:val="en-US" w:eastAsia="zh-CN"/>
              </w:rPr>
              <w:t>主要原辅料</w:t>
            </w:r>
            <w:r>
              <w:rPr>
                <w:rFonts w:hint="eastAsia" w:cs="Times New Roman"/>
                <w:color w:val="auto"/>
                <w:sz w:val="24"/>
                <w:szCs w:val="24"/>
                <w:highlight w:val="none"/>
                <w:lang w:val="en-US" w:eastAsia="zh-CN"/>
              </w:rPr>
              <w:t>及</w:t>
            </w:r>
            <w:r>
              <w:rPr>
                <w:rFonts w:hint="eastAsia" w:ascii="Times New Roman" w:hAnsi="Times New Roman" w:eastAsia="宋体" w:cs="Times New Roman"/>
                <w:color w:val="auto"/>
                <w:sz w:val="24"/>
                <w:szCs w:val="24"/>
                <w:highlight w:val="none"/>
                <w:lang w:val="en-US" w:eastAsia="zh-CN"/>
              </w:rPr>
              <w:t>能源消耗量见</w:t>
            </w:r>
            <w:r>
              <w:rPr>
                <w:rFonts w:hint="eastAsia" w:ascii="Times New Roman" w:hAnsi="Times New Roman" w:cs="Times New Roman"/>
                <w:color w:val="auto"/>
                <w:sz w:val="24"/>
                <w:szCs w:val="24"/>
                <w:highlight w:val="none"/>
                <w:lang w:val="en-US" w:eastAsia="zh-CN"/>
              </w:rPr>
              <w:t>下</w:t>
            </w:r>
            <w:r>
              <w:rPr>
                <w:rFonts w:hint="eastAsia" w:ascii="Times New Roman" w:hAnsi="Times New Roman" w:eastAsia="宋体" w:cs="Times New Roman"/>
                <w:color w:val="auto"/>
                <w:sz w:val="24"/>
                <w:szCs w:val="24"/>
                <w:highlight w:val="none"/>
                <w:lang w:val="en-US" w:eastAsia="zh-CN"/>
              </w:rPr>
              <w:t>表</w:t>
            </w:r>
            <w:r>
              <w:rPr>
                <w:rFonts w:hint="eastAsia" w:ascii="Times New Roman" w:hAnsi="Times New Roman" w:cs="Times New Roman"/>
                <w:color w:val="auto"/>
                <w:sz w:val="24"/>
                <w:szCs w:val="24"/>
                <w:highlight w:val="none"/>
                <w:lang w:val="en-US" w:eastAsia="zh-CN"/>
              </w:rPr>
              <w:t>：</w:t>
            </w:r>
          </w:p>
          <w:bookmarkEnd w:id="17"/>
          <w:p w14:paraId="142F079D">
            <w:pPr>
              <w:spacing w:line="240" w:lineRule="auto"/>
              <w:ind w:firstLine="0" w:firstLineChars="0"/>
              <w:jc w:val="center"/>
              <w:rPr>
                <w:rFonts w:hint="eastAsia" w:ascii="Times New Roman" w:hAnsi="Times New Roman" w:eastAsia="宋体" w:cs="宋体"/>
                <w:b/>
                <w:bCs/>
                <w:color w:val="auto"/>
                <w:kern w:val="0"/>
                <w:sz w:val="21"/>
                <w:szCs w:val="21"/>
                <w:highlight w:val="none"/>
              </w:rPr>
            </w:pPr>
            <w:r>
              <w:rPr>
                <w:rFonts w:hint="eastAsia" w:ascii="Times New Roman" w:hAnsi="Times New Roman" w:eastAsia="宋体" w:cs="宋体"/>
                <w:b/>
                <w:bCs/>
                <w:color w:val="auto"/>
                <w:kern w:val="0"/>
                <w:sz w:val="21"/>
                <w:szCs w:val="21"/>
                <w:highlight w:val="none"/>
              </w:rPr>
              <w:t>表2</w:t>
            </w:r>
            <w:r>
              <w:rPr>
                <w:rFonts w:hint="eastAsia" w:cs="宋体"/>
                <w:b/>
                <w:bCs/>
                <w:color w:val="auto"/>
                <w:kern w:val="0"/>
                <w:sz w:val="21"/>
                <w:szCs w:val="21"/>
                <w:highlight w:val="none"/>
                <w:lang w:val="en-US" w:eastAsia="zh-CN"/>
              </w:rPr>
              <w:t>-3</w:t>
            </w:r>
            <w:r>
              <w:rPr>
                <w:rFonts w:hint="eastAsia" w:ascii="Times New Roman" w:hAnsi="Times New Roman" w:eastAsia="宋体" w:cs="宋体"/>
                <w:b/>
                <w:bCs/>
                <w:color w:val="auto"/>
                <w:kern w:val="0"/>
                <w:sz w:val="21"/>
                <w:szCs w:val="21"/>
                <w:highlight w:val="none"/>
                <w:lang w:val="en-US" w:eastAsia="zh-CN"/>
              </w:rPr>
              <w:t xml:space="preserve"> </w:t>
            </w:r>
            <w:r>
              <w:rPr>
                <w:rFonts w:hint="eastAsia" w:cs="宋体"/>
                <w:b/>
                <w:bCs/>
                <w:color w:val="auto"/>
                <w:kern w:val="0"/>
                <w:sz w:val="21"/>
                <w:szCs w:val="21"/>
                <w:highlight w:val="none"/>
                <w:lang w:val="en-US" w:eastAsia="zh-CN"/>
              </w:rPr>
              <w:t>本</w:t>
            </w:r>
            <w:r>
              <w:rPr>
                <w:rFonts w:hint="eastAsia" w:ascii="Times New Roman" w:hAnsi="Times New Roman" w:eastAsia="宋体" w:cs="宋体"/>
                <w:b/>
                <w:bCs/>
                <w:color w:val="auto"/>
                <w:kern w:val="0"/>
                <w:sz w:val="21"/>
                <w:szCs w:val="21"/>
                <w:highlight w:val="none"/>
                <w:lang w:val="en-US" w:eastAsia="zh-CN"/>
              </w:rPr>
              <w:t>项目</w:t>
            </w:r>
            <w:r>
              <w:rPr>
                <w:rFonts w:hint="eastAsia" w:cs="宋体"/>
                <w:b/>
                <w:bCs/>
                <w:color w:val="auto"/>
                <w:kern w:val="0"/>
                <w:sz w:val="21"/>
                <w:szCs w:val="21"/>
                <w:highlight w:val="none"/>
                <w:lang w:val="en-US" w:eastAsia="zh-CN"/>
              </w:rPr>
              <w:t>主要</w:t>
            </w:r>
            <w:r>
              <w:rPr>
                <w:rFonts w:hint="eastAsia" w:ascii="Times New Roman" w:hAnsi="Times New Roman" w:eastAsia="宋体" w:cs="宋体"/>
                <w:b/>
                <w:bCs/>
                <w:color w:val="auto"/>
                <w:kern w:val="0"/>
                <w:sz w:val="21"/>
                <w:szCs w:val="21"/>
                <w:highlight w:val="none"/>
              </w:rPr>
              <w:t>原辅材料</w:t>
            </w:r>
            <w:r>
              <w:rPr>
                <w:rFonts w:hint="eastAsia" w:cs="宋体"/>
                <w:b/>
                <w:bCs/>
                <w:color w:val="auto"/>
                <w:kern w:val="0"/>
                <w:sz w:val="21"/>
                <w:szCs w:val="21"/>
                <w:highlight w:val="none"/>
                <w:lang w:eastAsia="zh-CN"/>
              </w:rPr>
              <w:t>及能源消耗</w:t>
            </w:r>
            <w:r>
              <w:rPr>
                <w:rFonts w:hint="eastAsia" w:ascii="Times New Roman" w:hAnsi="Times New Roman" w:eastAsia="宋体" w:cs="宋体"/>
                <w:b/>
                <w:bCs/>
                <w:color w:val="auto"/>
                <w:kern w:val="0"/>
                <w:sz w:val="21"/>
                <w:szCs w:val="21"/>
                <w:highlight w:val="none"/>
              </w:rPr>
              <w:t>表</w:t>
            </w:r>
          </w:p>
          <w:tbl>
            <w:tblPr>
              <w:tblStyle w:val="25"/>
              <w:tblW w:w="4996"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426"/>
              <w:gridCol w:w="1315"/>
              <w:gridCol w:w="1566"/>
              <w:gridCol w:w="1680"/>
              <w:gridCol w:w="1467"/>
              <w:gridCol w:w="1789"/>
            </w:tblGrid>
            <w:tr w14:paraId="31CF96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91" w:type="pct"/>
                  <w:noWrap w:val="0"/>
                  <w:vAlign w:val="center"/>
                </w:tcPr>
                <w:p w14:paraId="30D586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序号</w:t>
                  </w:r>
                </w:p>
              </w:tc>
              <w:tc>
                <w:tcPr>
                  <w:tcW w:w="973" w:type="pct"/>
                  <w:gridSpan w:val="2"/>
                  <w:noWrap w:val="0"/>
                  <w:vAlign w:val="center"/>
                </w:tcPr>
                <w:p w14:paraId="612D94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auto"/>
                      <w:sz w:val="21"/>
                      <w:szCs w:val="21"/>
                      <w:highlight w:val="none"/>
                      <w:lang w:eastAsia="zh-CN"/>
                    </w:rPr>
                  </w:pPr>
                  <w:r>
                    <w:rPr>
                      <w:rFonts w:hint="eastAsia"/>
                      <w:b/>
                      <w:bCs/>
                      <w:color w:val="auto"/>
                      <w:sz w:val="21"/>
                      <w:szCs w:val="21"/>
                      <w:highlight w:val="none"/>
                      <w:lang w:eastAsia="zh-CN"/>
                    </w:rPr>
                    <w:t>名称</w:t>
                  </w:r>
                </w:p>
              </w:tc>
              <w:tc>
                <w:tcPr>
                  <w:tcW w:w="875" w:type="pct"/>
                  <w:noWrap w:val="0"/>
                  <w:vAlign w:val="center"/>
                </w:tcPr>
                <w:p w14:paraId="375F11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auto"/>
                      <w:sz w:val="21"/>
                      <w:szCs w:val="21"/>
                      <w:highlight w:val="none"/>
                      <w:lang w:eastAsia="zh-CN"/>
                    </w:rPr>
                  </w:pPr>
                  <w:r>
                    <w:rPr>
                      <w:rFonts w:hint="eastAsia"/>
                      <w:b/>
                      <w:bCs/>
                      <w:color w:val="auto"/>
                      <w:sz w:val="21"/>
                      <w:szCs w:val="21"/>
                      <w:highlight w:val="none"/>
                      <w:lang w:eastAsia="zh-CN"/>
                    </w:rPr>
                    <w:t>年用量（</w:t>
                  </w:r>
                  <w:r>
                    <w:rPr>
                      <w:rFonts w:hint="eastAsia"/>
                      <w:b/>
                      <w:bCs/>
                      <w:color w:val="auto"/>
                      <w:sz w:val="21"/>
                      <w:szCs w:val="21"/>
                      <w:highlight w:val="none"/>
                      <w:lang w:val="en-US" w:eastAsia="zh-CN"/>
                    </w:rPr>
                    <w:t>t/a</w:t>
                  </w:r>
                  <w:r>
                    <w:rPr>
                      <w:rFonts w:hint="eastAsia"/>
                      <w:b/>
                      <w:bCs/>
                      <w:color w:val="auto"/>
                      <w:sz w:val="21"/>
                      <w:szCs w:val="21"/>
                      <w:highlight w:val="none"/>
                      <w:lang w:eastAsia="zh-CN"/>
                    </w:rPr>
                    <w:t>）</w:t>
                  </w:r>
                </w:p>
              </w:tc>
              <w:tc>
                <w:tcPr>
                  <w:tcW w:w="939" w:type="pct"/>
                  <w:noWrap w:val="0"/>
                  <w:vAlign w:val="center"/>
                </w:tcPr>
                <w:p w14:paraId="27C974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最大存储量</w:t>
                  </w:r>
                  <w:r>
                    <w:rPr>
                      <w:rFonts w:hint="eastAsia" w:cs="Times New Roman"/>
                      <w:b/>
                      <w:bCs/>
                      <w:color w:val="auto"/>
                      <w:sz w:val="21"/>
                      <w:szCs w:val="21"/>
                      <w:highlight w:val="none"/>
                      <w:lang w:val="en-US" w:eastAsia="zh-CN"/>
                    </w:rPr>
                    <w:t>（t）</w:t>
                  </w:r>
                </w:p>
              </w:tc>
              <w:tc>
                <w:tcPr>
                  <w:tcW w:w="820" w:type="pct"/>
                  <w:noWrap w:val="0"/>
                  <w:vAlign w:val="center"/>
                </w:tcPr>
                <w:p w14:paraId="247A2C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包装规格</w:t>
                  </w:r>
                </w:p>
              </w:tc>
              <w:tc>
                <w:tcPr>
                  <w:tcW w:w="1000" w:type="pct"/>
                  <w:noWrap w:val="0"/>
                  <w:vAlign w:val="center"/>
                </w:tcPr>
                <w:p w14:paraId="1AD0D0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bCs/>
                      <w:color w:val="auto"/>
                      <w:sz w:val="21"/>
                      <w:szCs w:val="21"/>
                      <w:highlight w:val="none"/>
                      <w:lang w:val="en-US" w:eastAsia="zh-CN"/>
                    </w:rPr>
                  </w:pPr>
                  <w:r>
                    <w:rPr>
                      <w:rFonts w:hint="eastAsia"/>
                      <w:b/>
                      <w:bCs/>
                      <w:color w:val="auto"/>
                      <w:sz w:val="21"/>
                      <w:szCs w:val="21"/>
                      <w:highlight w:val="none"/>
                      <w:lang w:val="en-US" w:eastAsia="zh-CN"/>
                    </w:rPr>
                    <w:t>备注</w:t>
                  </w:r>
                </w:p>
              </w:tc>
            </w:tr>
            <w:tr w14:paraId="401F2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1407D86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cs="Times New Roman"/>
                      <w:b w:val="0"/>
                      <w:bCs w:val="0"/>
                      <w:color w:val="auto"/>
                      <w:sz w:val="21"/>
                      <w:szCs w:val="21"/>
                      <w:highlight w:val="none"/>
                      <w:lang w:val="en-US" w:eastAsia="zh-CN"/>
                    </w:rPr>
                  </w:pPr>
                  <w:bookmarkStart w:id="18" w:name="OLE_LINK63" w:colFirst="3" w:colLast="3"/>
                  <w:bookmarkStart w:id="19" w:name="OLE_LINK66" w:colFirst="6" w:colLast="6"/>
                  <w:r>
                    <w:rPr>
                      <w:rFonts w:hint="eastAsia" w:cs="Times New Roman"/>
                      <w:b w:val="0"/>
                      <w:bCs w:val="0"/>
                      <w:color w:val="auto"/>
                      <w:sz w:val="21"/>
                      <w:szCs w:val="21"/>
                      <w:highlight w:val="none"/>
                      <w:lang w:val="en-US" w:eastAsia="zh-CN"/>
                    </w:rPr>
                    <w:t>1</w:t>
                  </w:r>
                </w:p>
              </w:tc>
              <w:tc>
                <w:tcPr>
                  <w:tcW w:w="238" w:type="pct"/>
                  <w:vMerge w:val="restart"/>
                  <w:noWrap w:val="0"/>
                  <w:vAlign w:val="center"/>
                </w:tcPr>
                <w:p w14:paraId="11B6F8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原辅料</w:t>
                  </w:r>
                </w:p>
              </w:tc>
              <w:tc>
                <w:tcPr>
                  <w:tcW w:w="735" w:type="pct"/>
                  <w:noWrap w:val="0"/>
                  <w:vAlign w:val="center"/>
                </w:tcPr>
                <w:p w14:paraId="22CE70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sz w:val="21"/>
                      <w:szCs w:val="21"/>
                      <w:highlight w:val="none"/>
                      <w:lang w:val="en-US" w:eastAsia="zh-CN"/>
                    </w:rPr>
                  </w:pPr>
                  <w:r>
                    <w:rPr>
                      <w:rFonts w:hint="eastAsia" w:ascii="Times New Roman" w:hAnsi="Times New Roman" w:eastAsia="宋体" w:cs="Times New Roman"/>
                      <w:b w:val="0"/>
                      <w:bCs w:val="0"/>
                      <w:color w:val="FF0000"/>
                      <w:sz w:val="21"/>
                      <w:szCs w:val="21"/>
                      <w:highlight w:val="none"/>
                      <w:lang w:val="en-US" w:eastAsia="zh-CN"/>
                    </w:rPr>
                    <w:t>山萸肉</w:t>
                  </w:r>
                </w:p>
              </w:tc>
              <w:tc>
                <w:tcPr>
                  <w:tcW w:w="875" w:type="pct"/>
                  <w:noWrap w:val="0"/>
                  <w:vAlign w:val="center"/>
                </w:tcPr>
                <w:p w14:paraId="560950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sz w:val="21"/>
                      <w:szCs w:val="21"/>
                      <w:highlight w:val="none"/>
                      <w:lang w:val="en-US" w:eastAsia="zh-CN"/>
                    </w:rPr>
                  </w:pPr>
                  <w:r>
                    <w:rPr>
                      <w:rFonts w:hint="eastAsia" w:cs="Times New Roman"/>
                      <w:b w:val="0"/>
                      <w:bCs w:val="0"/>
                      <w:color w:val="FF0000"/>
                      <w:sz w:val="21"/>
                      <w:szCs w:val="21"/>
                      <w:highlight w:val="none"/>
                      <w:lang w:val="en-US" w:eastAsia="zh-CN"/>
                    </w:rPr>
                    <w:t>50</w:t>
                  </w:r>
                </w:p>
              </w:tc>
              <w:tc>
                <w:tcPr>
                  <w:tcW w:w="939" w:type="pct"/>
                  <w:noWrap w:val="0"/>
                  <w:vAlign w:val="center"/>
                </w:tcPr>
                <w:p w14:paraId="492B21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sz w:val="21"/>
                      <w:szCs w:val="21"/>
                      <w:highlight w:val="none"/>
                      <w:lang w:val="en-US" w:eastAsia="zh-CN"/>
                    </w:rPr>
                  </w:pPr>
                  <w:r>
                    <w:rPr>
                      <w:rFonts w:hint="eastAsia" w:cs="Times New Roman"/>
                      <w:b w:val="0"/>
                      <w:bCs w:val="0"/>
                      <w:color w:val="FF0000"/>
                      <w:sz w:val="21"/>
                      <w:szCs w:val="21"/>
                      <w:highlight w:val="none"/>
                      <w:lang w:val="en-US" w:eastAsia="zh-CN"/>
                    </w:rPr>
                    <w:t>20</w:t>
                  </w:r>
                </w:p>
              </w:tc>
              <w:tc>
                <w:tcPr>
                  <w:tcW w:w="820" w:type="pct"/>
                  <w:noWrap w:val="0"/>
                  <w:vAlign w:val="center"/>
                </w:tcPr>
                <w:p w14:paraId="511A05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sz w:val="21"/>
                      <w:szCs w:val="21"/>
                      <w:highlight w:val="none"/>
                      <w:lang w:val="en-US" w:eastAsia="zh-CN"/>
                    </w:rPr>
                  </w:pPr>
                  <w:r>
                    <w:rPr>
                      <w:rFonts w:hint="eastAsia" w:ascii="Times New Roman" w:hAnsi="Times New Roman" w:eastAsia="宋体" w:cs="Times New Roman"/>
                      <w:b w:val="0"/>
                      <w:bCs w:val="0"/>
                      <w:color w:val="FF0000"/>
                      <w:sz w:val="21"/>
                      <w:szCs w:val="21"/>
                      <w:highlight w:val="none"/>
                      <w:lang w:val="en-US" w:eastAsia="zh-CN"/>
                    </w:rPr>
                    <w:t>干品</w:t>
                  </w:r>
                </w:p>
              </w:tc>
              <w:tc>
                <w:tcPr>
                  <w:tcW w:w="1000" w:type="pct"/>
                  <w:noWrap w:val="0"/>
                  <w:vAlign w:val="center"/>
                </w:tcPr>
                <w:p w14:paraId="57B7EC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sz w:val="21"/>
                      <w:szCs w:val="21"/>
                      <w:highlight w:val="none"/>
                      <w:lang w:val="en-US" w:eastAsia="zh-CN"/>
                    </w:rPr>
                  </w:pPr>
                  <w:r>
                    <w:rPr>
                      <w:rFonts w:hint="eastAsia" w:cs="宋体"/>
                      <w:color w:val="FF0000"/>
                      <w:kern w:val="0"/>
                      <w:sz w:val="21"/>
                      <w:szCs w:val="21"/>
                      <w:highlight w:val="none"/>
                      <w:lang w:val="en-US" w:eastAsia="zh-CN" w:bidi="ar-SA"/>
                    </w:rPr>
                    <w:t>原料暂存间</w:t>
                  </w:r>
                </w:p>
              </w:tc>
            </w:tr>
            <w:tr w14:paraId="54AA2E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6F8208C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 w:val="21"/>
                      <w:szCs w:val="21"/>
                      <w:highlight w:val="none"/>
                      <w:lang w:val="en-US" w:eastAsia="zh-CN"/>
                    </w:rPr>
                    <w:t>2</w:t>
                  </w:r>
                </w:p>
              </w:tc>
              <w:tc>
                <w:tcPr>
                  <w:tcW w:w="238" w:type="pct"/>
                  <w:vMerge w:val="continue"/>
                  <w:noWrap w:val="0"/>
                  <w:vAlign w:val="center"/>
                </w:tcPr>
                <w:p w14:paraId="4AD883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p>
              </w:tc>
              <w:tc>
                <w:tcPr>
                  <w:tcW w:w="735" w:type="pct"/>
                  <w:noWrap w:val="0"/>
                  <w:vAlign w:val="center"/>
                </w:tcPr>
                <w:p w14:paraId="07D963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kern w:val="2"/>
                      <w:sz w:val="21"/>
                      <w:szCs w:val="21"/>
                      <w:highlight w:val="none"/>
                      <w:lang w:val="en-US" w:eastAsia="zh-CN" w:bidi="ar-SA"/>
                    </w:rPr>
                  </w:pPr>
                  <w:r>
                    <w:rPr>
                      <w:rFonts w:hint="eastAsia" w:cs="Times New Roman"/>
                      <w:b w:val="0"/>
                      <w:bCs w:val="0"/>
                      <w:color w:val="FF0000"/>
                      <w:sz w:val="21"/>
                      <w:szCs w:val="21"/>
                      <w:highlight w:val="none"/>
                      <w:lang w:val="en-US" w:eastAsia="zh-CN"/>
                    </w:rPr>
                    <w:t>纯水</w:t>
                  </w:r>
                </w:p>
              </w:tc>
              <w:tc>
                <w:tcPr>
                  <w:tcW w:w="875" w:type="pct"/>
                  <w:noWrap w:val="0"/>
                  <w:vAlign w:val="center"/>
                </w:tcPr>
                <w:p w14:paraId="56033C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kern w:val="2"/>
                      <w:sz w:val="21"/>
                      <w:szCs w:val="21"/>
                      <w:highlight w:val="none"/>
                      <w:lang w:val="en-US" w:eastAsia="zh-CN" w:bidi="ar-SA"/>
                    </w:rPr>
                  </w:pPr>
                  <w:r>
                    <w:rPr>
                      <w:rFonts w:hint="eastAsia" w:cs="Times New Roman"/>
                      <w:b w:val="0"/>
                      <w:bCs w:val="0"/>
                      <w:color w:val="FF0000"/>
                      <w:sz w:val="21"/>
                      <w:szCs w:val="21"/>
                      <w:highlight w:val="none"/>
                      <w:lang w:val="en-US" w:eastAsia="zh-CN"/>
                    </w:rPr>
                    <w:t>161</w:t>
                  </w:r>
                </w:p>
              </w:tc>
              <w:tc>
                <w:tcPr>
                  <w:tcW w:w="939" w:type="pct"/>
                  <w:noWrap w:val="0"/>
                  <w:vAlign w:val="center"/>
                </w:tcPr>
                <w:p w14:paraId="1A7EF3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kern w:val="2"/>
                      <w:sz w:val="21"/>
                      <w:szCs w:val="21"/>
                      <w:highlight w:val="none"/>
                      <w:lang w:val="en-US" w:eastAsia="zh-CN" w:bidi="ar-SA"/>
                    </w:rPr>
                  </w:pPr>
                  <w:r>
                    <w:rPr>
                      <w:rFonts w:hint="eastAsia" w:cs="Times New Roman"/>
                      <w:b w:val="0"/>
                      <w:bCs w:val="0"/>
                      <w:color w:val="FF0000"/>
                      <w:sz w:val="21"/>
                      <w:szCs w:val="21"/>
                      <w:highlight w:val="none"/>
                      <w:lang w:val="en-US" w:eastAsia="zh-CN"/>
                    </w:rPr>
                    <w:t>/</w:t>
                  </w:r>
                </w:p>
              </w:tc>
              <w:tc>
                <w:tcPr>
                  <w:tcW w:w="820" w:type="pct"/>
                  <w:noWrap w:val="0"/>
                  <w:vAlign w:val="center"/>
                </w:tcPr>
                <w:p w14:paraId="56F531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kern w:val="2"/>
                      <w:sz w:val="21"/>
                      <w:szCs w:val="21"/>
                      <w:highlight w:val="none"/>
                      <w:lang w:val="en-US" w:eastAsia="zh-CN" w:bidi="ar-SA"/>
                    </w:rPr>
                  </w:pPr>
                  <w:r>
                    <w:rPr>
                      <w:rFonts w:hint="eastAsia" w:cs="Times New Roman"/>
                      <w:b w:val="0"/>
                      <w:bCs w:val="0"/>
                      <w:color w:val="FF0000"/>
                      <w:sz w:val="21"/>
                      <w:szCs w:val="21"/>
                      <w:highlight w:val="none"/>
                      <w:lang w:val="en-US" w:eastAsia="zh-CN"/>
                    </w:rPr>
                    <w:t>/</w:t>
                  </w:r>
                </w:p>
              </w:tc>
              <w:tc>
                <w:tcPr>
                  <w:tcW w:w="1000" w:type="pct"/>
                  <w:noWrap w:val="0"/>
                  <w:vAlign w:val="center"/>
                </w:tcPr>
                <w:p w14:paraId="236A23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FF0000"/>
                      <w:kern w:val="0"/>
                      <w:sz w:val="21"/>
                      <w:szCs w:val="21"/>
                      <w:highlight w:val="none"/>
                      <w:lang w:val="en-US" w:eastAsia="zh-CN" w:bidi="ar-SA"/>
                    </w:rPr>
                  </w:pPr>
                  <w:r>
                    <w:rPr>
                      <w:rFonts w:hint="eastAsia" w:cs="宋体"/>
                      <w:color w:val="FF0000"/>
                      <w:kern w:val="0"/>
                      <w:sz w:val="21"/>
                      <w:szCs w:val="21"/>
                      <w:highlight w:val="none"/>
                      <w:lang w:val="en-US" w:eastAsia="zh-CN" w:bidi="ar-SA"/>
                    </w:rPr>
                    <w:t>水处理间</w:t>
                  </w:r>
                </w:p>
              </w:tc>
            </w:tr>
            <w:tr w14:paraId="10F9A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2F821E8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 w:val="21"/>
                      <w:szCs w:val="21"/>
                      <w:highlight w:val="none"/>
                      <w:lang w:val="en-US" w:eastAsia="zh-CN"/>
                    </w:rPr>
                    <w:t>3</w:t>
                  </w:r>
                </w:p>
              </w:tc>
              <w:tc>
                <w:tcPr>
                  <w:tcW w:w="238" w:type="pct"/>
                  <w:vMerge w:val="continue"/>
                  <w:noWrap w:val="0"/>
                  <w:vAlign w:val="center"/>
                </w:tcPr>
                <w:p w14:paraId="72A768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p>
              </w:tc>
              <w:tc>
                <w:tcPr>
                  <w:tcW w:w="735" w:type="pct"/>
                  <w:noWrap w:val="0"/>
                  <w:vAlign w:val="center"/>
                </w:tcPr>
                <w:p w14:paraId="164FBB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蜂蜜</w:t>
                  </w:r>
                </w:p>
              </w:tc>
              <w:tc>
                <w:tcPr>
                  <w:tcW w:w="875" w:type="pct"/>
                  <w:noWrap w:val="0"/>
                  <w:vAlign w:val="center"/>
                </w:tcPr>
                <w:p w14:paraId="26A209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3</w:t>
                  </w:r>
                </w:p>
              </w:tc>
              <w:tc>
                <w:tcPr>
                  <w:tcW w:w="939" w:type="pct"/>
                  <w:noWrap w:val="0"/>
                  <w:vAlign w:val="center"/>
                </w:tcPr>
                <w:p w14:paraId="595A41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0.5</w:t>
                  </w:r>
                </w:p>
              </w:tc>
              <w:tc>
                <w:tcPr>
                  <w:tcW w:w="820" w:type="pct"/>
                  <w:noWrap w:val="0"/>
                  <w:vAlign w:val="center"/>
                </w:tcPr>
                <w:p w14:paraId="193C52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w:t>
                  </w:r>
                </w:p>
              </w:tc>
              <w:tc>
                <w:tcPr>
                  <w:tcW w:w="1000" w:type="pct"/>
                  <w:noWrap w:val="0"/>
                  <w:vAlign w:val="center"/>
                </w:tcPr>
                <w:p w14:paraId="476768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原料暂存间</w:t>
                  </w:r>
                </w:p>
              </w:tc>
            </w:tr>
            <w:tr w14:paraId="6862DD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4C03064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4</w:t>
                  </w:r>
                </w:p>
              </w:tc>
              <w:tc>
                <w:tcPr>
                  <w:tcW w:w="238" w:type="pct"/>
                  <w:vMerge w:val="continue"/>
                  <w:noWrap w:val="0"/>
                  <w:vAlign w:val="center"/>
                </w:tcPr>
                <w:p w14:paraId="63C72D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p>
              </w:tc>
              <w:tc>
                <w:tcPr>
                  <w:tcW w:w="735" w:type="pct"/>
                  <w:noWrap w:val="0"/>
                  <w:vAlign w:val="center"/>
                </w:tcPr>
                <w:p w14:paraId="19638B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sz w:val="21"/>
                      <w:szCs w:val="21"/>
                      <w:highlight w:val="none"/>
                      <w:lang w:val="en-US" w:eastAsia="zh-CN"/>
                    </w:rPr>
                  </w:pPr>
                  <w:r>
                    <w:rPr>
                      <w:rFonts w:hint="eastAsia" w:ascii="Times New Roman" w:hAnsi="Times New Roman" w:eastAsia="宋体" w:cs="Times New Roman"/>
                      <w:b w:val="0"/>
                      <w:bCs w:val="0"/>
                      <w:color w:val="FF0000"/>
                      <w:sz w:val="21"/>
                      <w:szCs w:val="21"/>
                      <w:highlight w:val="none"/>
                      <w:lang w:val="en-US" w:eastAsia="zh-CN"/>
                    </w:rPr>
                    <w:t>白砂糖</w:t>
                  </w:r>
                </w:p>
              </w:tc>
              <w:tc>
                <w:tcPr>
                  <w:tcW w:w="875" w:type="pct"/>
                  <w:noWrap w:val="0"/>
                  <w:vAlign w:val="center"/>
                </w:tcPr>
                <w:p w14:paraId="66BFF2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sz w:val="21"/>
                      <w:szCs w:val="21"/>
                      <w:highlight w:val="none"/>
                      <w:lang w:val="en-US" w:eastAsia="zh-CN"/>
                    </w:rPr>
                  </w:pPr>
                  <w:r>
                    <w:rPr>
                      <w:rFonts w:hint="eastAsia" w:cs="Times New Roman"/>
                      <w:b w:val="0"/>
                      <w:bCs w:val="0"/>
                      <w:color w:val="FF0000"/>
                      <w:sz w:val="21"/>
                      <w:szCs w:val="21"/>
                      <w:highlight w:val="none"/>
                      <w:lang w:val="en-US" w:eastAsia="zh-CN"/>
                    </w:rPr>
                    <w:t>2.04</w:t>
                  </w:r>
                </w:p>
              </w:tc>
              <w:tc>
                <w:tcPr>
                  <w:tcW w:w="939" w:type="pct"/>
                  <w:noWrap w:val="0"/>
                  <w:vAlign w:val="center"/>
                </w:tcPr>
                <w:p w14:paraId="076816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sz w:val="21"/>
                      <w:szCs w:val="21"/>
                      <w:highlight w:val="none"/>
                      <w:lang w:val="en-US" w:eastAsia="zh-CN"/>
                    </w:rPr>
                  </w:pPr>
                  <w:r>
                    <w:rPr>
                      <w:rFonts w:hint="eastAsia" w:cs="Times New Roman"/>
                      <w:b w:val="0"/>
                      <w:bCs w:val="0"/>
                      <w:color w:val="FF0000"/>
                      <w:sz w:val="21"/>
                      <w:szCs w:val="21"/>
                      <w:highlight w:val="none"/>
                      <w:lang w:val="en-US" w:eastAsia="zh-CN"/>
                    </w:rPr>
                    <w:t>0.1</w:t>
                  </w:r>
                </w:p>
              </w:tc>
              <w:tc>
                <w:tcPr>
                  <w:tcW w:w="820" w:type="pct"/>
                  <w:noWrap w:val="0"/>
                  <w:vAlign w:val="center"/>
                </w:tcPr>
                <w:p w14:paraId="2F11DC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sz w:val="21"/>
                      <w:szCs w:val="21"/>
                      <w:highlight w:val="none"/>
                      <w:lang w:val="en-US" w:eastAsia="zh-CN"/>
                    </w:rPr>
                  </w:pPr>
                  <w:r>
                    <w:rPr>
                      <w:rFonts w:hint="eastAsia" w:ascii="Times New Roman" w:hAnsi="Times New Roman" w:eastAsia="宋体" w:cs="Times New Roman"/>
                      <w:b w:val="0"/>
                      <w:bCs w:val="0"/>
                      <w:color w:val="FF0000"/>
                      <w:sz w:val="21"/>
                      <w:szCs w:val="21"/>
                      <w:highlight w:val="none"/>
                      <w:lang w:val="en-US" w:eastAsia="zh-CN"/>
                    </w:rPr>
                    <w:t>50kg/袋</w:t>
                  </w:r>
                </w:p>
              </w:tc>
              <w:tc>
                <w:tcPr>
                  <w:tcW w:w="1000" w:type="pct"/>
                  <w:noWrap w:val="0"/>
                  <w:vAlign w:val="center"/>
                </w:tcPr>
                <w:p w14:paraId="41FEF4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sz w:val="21"/>
                      <w:szCs w:val="21"/>
                      <w:highlight w:val="none"/>
                      <w:lang w:val="en-US" w:eastAsia="zh-CN"/>
                    </w:rPr>
                  </w:pPr>
                  <w:r>
                    <w:rPr>
                      <w:rFonts w:hint="eastAsia" w:cs="宋体"/>
                      <w:color w:val="FF0000"/>
                      <w:kern w:val="0"/>
                      <w:sz w:val="21"/>
                      <w:szCs w:val="21"/>
                      <w:highlight w:val="none"/>
                      <w:lang w:val="en-US" w:eastAsia="zh-CN" w:bidi="ar-SA"/>
                    </w:rPr>
                    <w:t>原料暂存间</w:t>
                  </w:r>
                </w:p>
              </w:tc>
            </w:tr>
            <w:tr w14:paraId="51C83C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noWrap w:val="0"/>
                  <w:vAlign w:val="center"/>
                </w:tcPr>
                <w:p w14:paraId="4B5884D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5</w:t>
                  </w:r>
                </w:p>
              </w:tc>
              <w:tc>
                <w:tcPr>
                  <w:tcW w:w="238" w:type="pct"/>
                  <w:vMerge w:val="continue"/>
                  <w:noWrap w:val="0"/>
                  <w:vAlign w:val="center"/>
                </w:tcPr>
                <w:p w14:paraId="48CA2C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p>
              </w:tc>
              <w:tc>
                <w:tcPr>
                  <w:tcW w:w="735" w:type="pct"/>
                  <w:noWrap w:val="0"/>
                  <w:vAlign w:val="center"/>
                </w:tcPr>
                <w:p w14:paraId="52C054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sz w:val="21"/>
                      <w:szCs w:val="21"/>
                      <w:highlight w:val="none"/>
                      <w:lang w:val="en-US" w:eastAsia="zh-CN"/>
                    </w:rPr>
                  </w:pPr>
                  <w:r>
                    <w:rPr>
                      <w:rFonts w:hint="eastAsia" w:ascii="Times New Roman" w:hAnsi="Times New Roman" w:eastAsia="宋体" w:cs="Times New Roman"/>
                      <w:b w:val="0"/>
                      <w:bCs w:val="0"/>
                      <w:color w:val="FF0000"/>
                      <w:sz w:val="21"/>
                      <w:szCs w:val="21"/>
                      <w:highlight w:val="none"/>
                      <w:lang w:val="en-US" w:eastAsia="zh-CN"/>
                    </w:rPr>
                    <w:t>酵母</w:t>
                  </w:r>
                </w:p>
              </w:tc>
              <w:tc>
                <w:tcPr>
                  <w:tcW w:w="875" w:type="pct"/>
                  <w:noWrap w:val="0"/>
                  <w:vAlign w:val="center"/>
                </w:tcPr>
                <w:p w14:paraId="051A48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sz w:val="21"/>
                      <w:szCs w:val="21"/>
                      <w:highlight w:val="none"/>
                      <w:lang w:val="en-US" w:eastAsia="zh-CN"/>
                    </w:rPr>
                  </w:pPr>
                  <w:r>
                    <w:rPr>
                      <w:rFonts w:hint="eastAsia" w:cs="Times New Roman"/>
                      <w:b w:val="0"/>
                      <w:bCs w:val="0"/>
                      <w:color w:val="FF0000"/>
                      <w:sz w:val="21"/>
                      <w:szCs w:val="21"/>
                      <w:highlight w:val="none"/>
                      <w:lang w:val="en-US" w:eastAsia="zh-CN"/>
                    </w:rPr>
                    <w:t>0.079</w:t>
                  </w:r>
                </w:p>
              </w:tc>
              <w:tc>
                <w:tcPr>
                  <w:tcW w:w="939" w:type="pct"/>
                  <w:noWrap w:val="0"/>
                  <w:vAlign w:val="center"/>
                </w:tcPr>
                <w:p w14:paraId="430EA0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sz w:val="21"/>
                      <w:szCs w:val="21"/>
                      <w:highlight w:val="none"/>
                      <w:lang w:val="en-US" w:eastAsia="zh-CN"/>
                    </w:rPr>
                  </w:pPr>
                  <w:r>
                    <w:rPr>
                      <w:rFonts w:hint="eastAsia" w:ascii="Times New Roman" w:hAnsi="Times New Roman" w:eastAsia="宋体" w:cs="Times New Roman"/>
                      <w:b w:val="0"/>
                      <w:bCs w:val="0"/>
                      <w:color w:val="FF0000"/>
                      <w:sz w:val="21"/>
                      <w:szCs w:val="21"/>
                      <w:highlight w:val="none"/>
                      <w:lang w:val="en-US" w:eastAsia="zh-CN"/>
                    </w:rPr>
                    <w:t>0.0</w:t>
                  </w:r>
                  <w:r>
                    <w:rPr>
                      <w:rFonts w:hint="eastAsia" w:cs="Times New Roman"/>
                      <w:b w:val="0"/>
                      <w:bCs w:val="0"/>
                      <w:color w:val="FF0000"/>
                      <w:sz w:val="21"/>
                      <w:szCs w:val="21"/>
                      <w:highlight w:val="none"/>
                      <w:lang w:val="en-US" w:eastAsia="zh-CN"/>
                    </w:rPr>
                    <w:t>02</w:t>
                  </w:r>
                </w:p>
              </w:tc>
              <w:tc>
                <w:tcPr>
                  <w:tcW w:w="820" w:type="pct"/>
                  <w:noWrap w:val="0"/>
                  <w:vAlign w:val="center"/>
                </w:tcPr>
                <w:p w14:paraId="193031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sz w:val="21"/>
                      <w:szCs w:val="21"/>
                      <w:highlight w:val="none"/>
                      <w:lang w:val="en-US" w:eastAsia="zh-CN"/>
                    </w:rPr>
                  </w:pPr>
                  <w:r>
                    <w:rPr>
                      <w:rFonts w:hint="eastAsia" w:ascii="Times New Roman" w:hAnsi="Times New Roman" w:eastAsia="宋体" w:cs="Times New Roman"/>
                      <w:b w:val="0"/>
                      <w:bCs w:val="0"/>
                      <w:color w:val="FF0000"/>
                      <w:sz w:val="21"/>
                      <w:szCs w:val="21"/>
                      <w:highlight w:val="none"/>
                      <w:lang w:val="en-US" w:eastAsia="zh-CN"/>
                    </w:rPr>
                    <w:t>500g/袋</w:t>
                  </w:r>
                </w:p>
              </w:tc>
              <w:tc>
                <w:tcPr>
                  <w:tcW w:w="1000" w:type="pct"/>
                  <w:noWrap w:val="0"/>
                  <w:vAlign w:val="center"/>
                </w:tcPr>
                <w:p w14:paraId="1D6830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sz w:val="21"/>
                      <w:szCs w:val="21"/>
                      <w:highlight w:val="none"/>
                      <w:lang w:val="en-US" w:eastAsia="zh-CN"/>
                    </w:rPr>
                  </w:pPr>
                  <w:r>
                    <w:rPr>
                      <w:rFonts w:hint="eastAsia" w:cs="宋体"/>
                      <w:color w:val="FF0000"/>
                      <w:kern w:val="0"/>
                      <w:sz w:val="21"/>
                      <w:szCs w:val="21"/>
                      <w:highlight w:val="none"/>
                      <w:lang w:val="en-US" w:eastAsia="zh-CN" w:bidi="ar-SA"/>
                    </w:rPr>
                    <w:t>原料暂存间</w:t>
                  </w:r>
                </w:p>
              </w:tc>
            </w:tr>
            <w:tr w14:paraId="7F4932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noWrap w:val="0"/>
                  <w:vAlign w:val="center"/>
                </w:tcPr>
                <w:p w14:paraId="7BAAFF5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6</w:t>
                  </w:r>
                </w:p>
              </w:tc>
              <w:tc>
                <w:tcPr>
                  <w:tcW w:w="238" w:type="pct"/>
                  <w:vMerge w:val="continue"/>
                  <w:noWrap w:val="0"/>
                  <w:vAlign w:val="center"/>
                </w:tcPr>
                <w:p w14:paraId="3AB720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p>
              </w:tc>
              <w:tc>
                <w:tcPr>
                  <w:tcW w:w="735" w:type="pct"/>
                  <w:noWrap w:val="0"/>
                  <w:vAlign w:val="center"/>
                </w:tcPr>
                <w:p w14:paraId="070F0C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焦亚硫酸钾</w:t>
                  </w:r>
                </w:p>
              </w:tc>
              <w:tc>
                <w:tcPr>
                  <w:tcW w:w="875" w:type="pct"/>
                  <w:noWrap w:val="0"/>
                  <w:vAlign w:val="center"/>
                </w:tcPr>
                <w:p w14:paraId="3DC473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0.0</w:t>
                  </w:r>
                  <w:r>
                    <w:rPr>
                      <w:rFonts w:hint="eastAsia" w:cs="Times New Roman"/>
                      <w:b w:val="0"/>
                      <w:bCs w:val="0"/>
                      <w:color w:val="auto"/>
                      <w:sz w:val="21"/>
                      <w:szCs w:val="21"/>
                      <w:highlight w:val="none"/>
                      <w:lang w:val="en-US" w:eastAsia="zh-CN"/>
                    </w:rPr>
                    <w:t>5</w:t>
                  </w:r>
                </w:p>
              </w:tc>
              <w:tc>
                <w:tcPr>
                  <w:tcW w:w="939" w:type="pct"/>
                  <w:noWrap w:val="0"/>
                  <w:vAlign w:val="center"/>
                </w:tcPr>
                <w:p w14:paraId="1D2E32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0.00</w:t>
                  </w:r>
                  <w:r>
                    <w:rPr>
                      <w:rFonts w:hint="eastAsia" w:cs="Times New Roman"/>
                      <w:b w:val="0"/>
                      <w:bCs w:val="0"/>
                      <w:color w:val="auto"/>
                      <w:sz w:val="21"/>
                      <w:szCs w:val="21"/>
                      <w:highlight w:val="none"/>
                      <w:lang w:val="en-US" w:eastAsia="zh-CN"/>
                    </w:rPr>
                    <w:t>2</w:t>
                  </w:r>
                </w:p>
              </w:tc>
              <w:tc>
                <w:tcPr>
                  <w:tcW w:w="820" w:type="pct"/>
                  <w:noWrap w:val="0"/>
                  <w:vAlign w:val="center"/>
                </w:tcPr>
                <w:p w14:paraId="6FC017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sz w:val="21"/>
                      <w:szCs w:val="21"/>
                      <w:highlight w:val="none"/>
                      <w:lang w:val="en-US" w:eastAsia="zh-CN"/>
                    </w:rPr>
                  </w:pPr>
                  <w:r>
                    <w:rPr>
                      <w:rFonts w:hint="eastAsia" w:ascii="Times New Roman" w:hAnsi="Times New Roman" w:eastAsia="宋体" w:cs="Times New Roman"/>
                      <w:b w:val="0"/>
                      <w:bCs w:val="0"/>
                      <w:color w:val="FF0000"/>
                      <w:sz w:val="21"/>
                      <w:szCs w:val="21"/>
                      <w:highlight w:val="none"/>
                      <w:lang w:val="en-US" w:eastAsia="zh-CN"/>
                    </w:rPr>
                    <w:t>500g/袋</w:t>
                  </w:r>
                </w:p>
              </w:tc>
              <w:tc>
                <w:tcPr>
                  <w:tcW w:w="1000" w:type="pct"/>
                  <w:noWrap w:val="0"/>
                  <w:vAlign w:val="center"/>
                </w:tcPr>
                <w:p w14:paraId="7179E4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sz w:val="21"/>
                      <w:szCs w:val="21"/>
                      <w:highlight w:val="none"/>
                      <w:lang w:val="en-US" w:eastAsia="zh-CN"/>
                    </w:rPr>
                  </w:pPr>
                  <w:r>
                    <w:rPr>
                      <w:rFonts w:hint="eastAsia" w:cs="宋体"/>
                      <w:color w:val="FF0000"/>
                      <w:kern w:val="0"/>
                      <w:sz w:val="21"/>
                      <w:szCs w:val="21"/>
                      <w:highlight w:val="none"/>
                      <w:lang w:val="en-US" w:eastAsia="zh-CN" w:bidi="ar-SA"/>
                    </w:rPr>
                    <w:t>原料暂存间，添加剂</w:t>
                  </w:r>
                </w:p>
              </w:tc>
            </w:tr>
            <w:tr w14:paraId="120BA5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noWrap w:val="0"/>
                  <w:vAlign w:val="center"/>
                </w:tcPr>
                <w:p w14:paraId="7431491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 w:val="21"/>
                      <w:szCs w:val="21"/>
                      <w:highlight w:val="none"/>
                      <w:lang w:val="en-US" w:eastAsia="zh-CN"/>
                    </w:rPr>
                    <w:t>7</w:t>
                  </w:r>
                </w:p>
              </w:tc>
              <w:tc>
                <w:tcPr>
                  <w:tcW w:w="238" w:type="pct"/>
                  <w:vMerge w:val="restart"/>
                  <w:noWrap w:val="0"/>
                  <w:vAlign w:val="center"/>
                </w:tcPr>
                <w:p w14:paraId="44B7CF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化验试剂</w:t>
                  </w:r>
                </w:p>
              </w:tc>
              <w:tc>
                <w:tcPr>
                  <w:tcW w:w="735" w:type="pct"/>
                  <w:noWrap w:val="0"/>
                  <w:vAlign w:val="center"/>
                </w:tcPr>
                <w:p w14:paraId="58288C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菲林试剂</w:t>
                  </w:r>
                </w:p>
              </w:tc>
              <w:tc>
                <w:tcPr>
                  <w:tcW w:w="875" w:type="pct"/>
                  <w:noWrap w:val="0"/>
                  <w:vAlign w:val="center"/>
                </w:tcPr>
                <w:p w14:paraId="3B5848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500ml</w:t>
                  </w:r>
                </w:p>
              </w:tc>
              <w:tc>
                <w:tcPr>
                  <w:tcW w:w="939" w:type="pct"/>
                  <w:noWrap w:val="0"/>
                  <w:vAlign w:val="center"/>
                </w:tcPr>
                <w:p w14:paraId="20EEEF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50ml</w:t>
                  </w:r>
                </w:p>
              </w:tc>
              <w:tc>
                <w:tcPr>
                  <w:tcW w:w="820" w:type="pct"/>
                  <w:noWrap w:val="0"/>
                  <w:vAlign w:val="center"/>
                </w:tcPr>
                <w:p w14:paraId="758404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50ml/瓶</w:t>
                  </w:r>
                </w:p>
              </w:tc>
              <w:tc>
                <w:tcPr>
                  <w:tcW w:w="1000" w:type="pct"/>
                  <w:vMerge w:val="restart"/>
                  <w:noWrap w:val="0"/>
                  <w:vAlign w:val="center"/>
                </w:tcPr>
                <w:p w14:paraId="0FC45B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化验室试剂柜</w:t>
                  </w:r>
                </w:p>
              </w:tc>
            </w:tr>
            <w:tr w14:paraId="6F6D45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noWrap w:val="0"/>
                  <w:vAlign w:val="center"/>
                </w:tcPr>
                <w:p w14:paraId="01C7D08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 w:val="21"/>
                      <w:szCs w:val="21"/>
                      <w:highlight w:val="none"/>
                      <w:lang w:val="en-US" w:eastAsia="zh-CN"/>
                    </w:rPr>
                    <w:t>8</w:t>
                  </w:r>
                </w:p>
              </w:tc>
              <w:tc>
                <w:tcPr>
                  <w:tcW w:w="238" w:type="pct"/>
                  <w:vMerge w:val="continue"/>
                  <w:noWrap w:val="0"/>
                  <w:vAlign w:val="center"/>
                </w:tcPr>
                <w:p w14:paraId="4085FB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p>
              </w:tc>
              <w:tc>
                <w:tcPr>
                  <w:tcW w:w="735" w:type="pct"/>
                  <w:noWrap w:val="0"/>
                  <w:vAlign w:val="center"/>
                </w:tcPr>
                <w:p w14:paraId="76FF65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氢氧化钠溶液</w:t>
                  </w:r>
                </w:p>
              </w:tc>
              <w:tc>
                <w:tcPr>
                  <w:tcW w:w="875" w:type="pct"/>
                  <w:noWrap w:val="0"/>
                  <w:vAlign w:val="center"/>
                </w:tcPr>
                <w:p w14:paraId="51B5F9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500ml</w:t>
                  </w:r>
                </w:p>
              </w:tc>
              <w:tc>
                <w:tcPr>
                  <w:tcW w:w="939" w:type="pct"/>
                  <w:noWrap w:val="0"/>
                  <w:vAlign w:val="center"/>
                </w:tcPr>
                <w:p w14:paraId="01F8BE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50ml</w:t>
                  </w:r>
                </w:p>
              </w:tc>
              <w:tc>
                <w:tcPr>
                  <w:tcW w:w="820" w:type="pct"/>
                  <w:noWrap w:val="0"/>
                  <w:vAlign w:val="center"/>
                </w:tcPr>
                <w:p w14:paraId="6E445D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50ml/瓶</w:t>
                  </w:r>
                </w:p>
              </w:tc>
              <w:tc>
                <w:tcPr>
                  <w:tcW w:w="1000" w:type="pct"/>
                  <w:vMerge w:val="continue"/>
                  <w:noWrap w:val="0"/>
                  <w:vAlign w:val="center"/>
                </w:tcPr>
                <w:p w14:paraId="0F75C4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kern w:val="0"/>
                      <w:sz w:val="21"/>
                      <w:szCs w:val="21"/>
                      <w:highlight w:val="none"/>
                      <w:lang w:val="en-US" w:eastAsia="zh-CN" w:bidi="ar-SA"/>
                    </w:rPr>
                  </w:pPr>
                </w:p>
              </w:tc>
            </w:tr>
            <w:tr w14:paraId="29B014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noWrap w:val="0"/>
                  <w:vAlign w:val="center"/>
                </w:tcPr>
                <w:p w14:paraId="0BA7A17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9</w:t>
                  </w:r>
                </w:p>
              </w:tc>
              <w:tc>
                <w:tcPr>
                  <w:tcW w:w="238" w:type="pct"/>
                  <w:vMerge w:val="continue"/>
                  <w:noWrap w:val="0"/>
                  <w:vAlign w:val="center"/>
                </w:tcPr>
                <w:p w14:paraId="4DF418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p>
              </w:tc>
              <w:tc>
                <w:tcPr>
                  <w:tcW w:w="735" w:type="pct"/>
                  <w:noWrap w:val="0"/>
                  <w:vAlign w:val="center"/>
                </w:tcPr>
                <w:p w14:paraId="3A4D3E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酚酞指示剂</w:t>
                  </w:r>
                </w:p>
              </w:tc>
              <w:tc>
                <w:tcPr>
                  <w:tcW w:w="875" w:type="pct"/>
                  <w:noWrap w:val="0"/>
                  <w:vAlign w:val="center"/>
                </w:tcPr>
                <w:p w14:paraId="14F06E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500ml</w:t>
                  </w:r>
                </w:p>
              </w:tc>
              <w:tc>
                <w:tcPr>
                  <w:tcW w:w="939" w:type="pct"/>
                  <w:noWrap w:val="0"/>
                  <w:vAlign w:val="center"/>
                </w:tcPr>
                <w:p w14:paraId="3A6DD7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50ml</w:t>
                  </w:r>
                </w:p>
              </w:tc>
              <w:tc>
                <w:tcPr>
                  <w:tcW w:w="820" w:type="pct"/>
                  <w:noWrap w:val="0"/>
                  <w:vAlign w:val="center"/>
                </w:tcPr>
                <w:p w14:paraId="7D92F7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50ml/瓶</w:t>
                  </w:r>
                </w:p>
              </w:tc>
              <w:tc>
                <w:tcPr>
                  <w:tcW w:w="1000" w:type="pct"/>
                  <w:vMerge w:val="continue"/>
                  <w:noWrap w:val="0"/>
                  <w:vAlign w:val="center"/>
                </w:tcPr>
                <w:p w14:paraId="00252A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kern w:val="0"/>
                      <w:sz w:val="21"/>
                      <w:szCs w:val="21"/>
                      <w:highlight w:val="none"/>
                      <w:lang w:val="en-US" w:eastAsia="zh-CN" w:bidi="ar-SA"/>
                    </w:rPr>
                  </w:pPr>
                </w:p>
              </w:tc>
            </w:tr>
            <w:tr w14:paraId="3B995E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noWrap w:val="0"/>
                  <w:vAlign w:val="center"/>
                </w:tcPr>
                <w:p w14:paraId="42B4FEE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10</w:t>
                  </w:r>
                </w:p>
              </w:tc>
              <w:tc>
                <w:tcPr>
                  <w:tcW w:w="238" w:type="pct"/>
                  <w:vMerge w:val="continue"/>
                  <w:noWrap w:val="0"/>
                  <w:vAlign w:val="center"/>
                </w:tcPr>
                <w:p w14:paraId="509F57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p>
              </w:tc>
              <w:tc>
                <w:tcPr>
                  <w:tcW w:w="735" w:type="pct"/>
                  <w:noWrap w:val="0"/>
                  <w:vAlign w:val="center"/>
                </w:tcPr>
                <w:p w14:paraId="02B8A9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碘标准液</w:t>
                  </w:r>
                </w:p>
              </w:tc>
              <w:tc>
                <w:tcPr>
                  <w:tcW w:w="875" w:type="pct"/>
                  <w:noWrap w:val="0"/>
                  <w:vAlign w:val="center"/>
                </w:tcPr>
                <w:p w14:paraId="003710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500ml</w:t>
                  </w:r>
                </w:p>
              </w:tc>
              <w:tc>
                <w:tcPr>
                  <w:tcW w:w="939" w:type="pct"/>
                  <w:noWrap w:val="0"/>
                  <w:vAlign w:val="center"/>
                </w:tcPr>
                <w:p w14:paraId="469EF1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50ml</w:t>
                  </w:r>
                </w:p>
              </w:tc>
              <w:tc>
                <w:tcPr>
                  <w:tcW w:w="820" w:type="pct"/>
                  <w:noWrap w:val="0"/>
                  <w:vAlign w:val="center"/>
                </w:tcPr>
                <w:p w14:paraId="5CA59A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50ml/瓶</w:t>
                  </w:r>
                </w:p>
              </w:tc>
              <w:tc>
                <w:tcPr>
                  <w:tcW w:w="1000" w:type="pct"/>
                  <w:vMerge w:val="continue"/>
                  <w:noWrap w:val="0"/>
                  <w:vAlign w:val="center"/>
                </w:tcPr>
                <w:p w14:paraId="51126E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kern w:val="0"/>
                      <w:sz w:val="21"/>
                      <w:szCs w:val="21"/>
                      <w:highlight w:val="none"/>
                      <w:lang w:val="en-US" w:eastAsia="zh-CN" w:bidi="ar-SA"/>
                    </w:rPr>
                  </w:pPr>
                </w:p>
              </w:tc>
            </w:tr>
            <w:tr w14:paraId="465D2E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noWrap w:val="0"/>
                  <w:vAlign w:val="center"/>
                </w:tcPr>
                <w:p w14:paraId="526A0F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11</w:t>
                  </w:r>
                </w:p>
              </w:tc>
              <w:tc>
                <w:tcPr>
                  <w:tcW w:w="238" w:type="pct"/>
                  <w:vMerge w:val="restart"/>
                  <w:noWrap w:val="0"/>
                  <w:vAlign w:val="center"/>
                </w:tcPr>
                <w:p w14:paraId="102DBB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包装材料</w:t>
                  </w:r>
                </w:p>
              </w:tc>
              <w:tc>
                <w:tcPr>
                  <w:tcW w:w="735" w:type="pct"/>
                  <w:noWrap w:val="0"/>
                  <w:vAlign w:val="center"/>
                </w:tcPr>
                <w:p w14:paraId="4BC7F4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玻璃瓶</w:t>
                  </w:r>
                </w:p>
              </w:tc>
              <w:tc>
                <w:tcPr>
                  <w:tcW w:w="875" w:type="pct"/>
                  <w:noWrap w:val="0"/>
                  <w:vAlign w:val="center"/>
                </w:tcPr>
                <w:p w14:paraId="13CCCD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40万个</w:t>
                  </w:r>
                </w:p>
              </w:tc>
              <w:tc>
                <w:tcPr>
                  <w:tcW w:w="939" w:type="pct"/>
                  <w:noWrap w:val="0"/>
                  <w:vAlign w:val="center"/>
                </w:tcPr>
                <w:p w14:paraId="701F61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5万个</w:t>
                  </w:r>
                </w:p>
              </w:tc>
              <w:tc>
                <w:tcPr>
                  <w:tcW w:w="820" w:type="pct"/>
                  <w:noWrap w:val="0"/>
                  <w:vAlign w:val="center"/>
                </w:tcPr>
                <w:p w14:paraId="5268F7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1000" w:type="pct"/>
                  <w:noWrap w:val="0"/>
                  <w:vAlign w:val="center"/>
                </w:tcPr>
                <w:p w14:paraId="7CD1EF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灌装间</w:t>
                  </w:r>
                </w:p>
              </w:tc>
            </w:tr>
            <w:tr w14:paraId="0DB8B3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noWrap w:val="0"/>
                  <w:vAlign w:val="center"/>
                </w:tcPr>
                <w:p w14:paraId="001C373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12</w:t>
                  </w:r>
                </w:p>
              </w:tc>
              <w:tc>
                <w:tcPr>
                  <w:tcW w:w="238" w:type="pct"/>
                  <w:vMerge w:val="continue"/>
                  <w:noWrap w:val="0"/>
                  <w:vAlign w:val="center"/>
                </w:tcPr>
                <w:p w14:paraId="1C48DD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p>
              </w:tc>
              <w:tc>
                <w:tcPr>
                  <w:tcW w:w="735" w:type="pct"/>
                  <w:noWrap w:val="0"/>
                  <w:vAlign w:val="center"/>
                </w:tcPr>
                <w:p w14:paraId="50838C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软木塞</w:t>
                  </w:r>
                </w:p>
              </w:tc>
              <w:tc>
                <w:tcPr>
                  <w:tcW w:w="875" w:type="pct"/>
                  <w:noWrap w:val="0"/>
                  <w:vAlign w:val="center"/>
                </w:tcPr>
                <w:p w14:paraId="5211A4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40万个</w:t>
                  </w:r>
                </w:p>
              </w:tc>
              <w:tc>
                <w:tcPr>
                  <w:tcW w:w="939" w:type="pct"/>
                  <w:noWrap w:val="0"/>
                  <w:vAlign w:val="center"/>
                </w:tcPr>
                <w:p w14:paraId="1C8C15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5万个</w:t>
                  </w:r>
                </w:p>
              </w:tc>
              <w:tc>
                <w:tcPr>
                  <w:tcW w:w="820" w:type="pct"/>
                  <w:noWrap w:val="0"/>
                  <w:vAlign w:val="center"/>
                </w:tcPr>
                <w:p w14:paraId="43C2C7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1000" w:type="pct"/>
                  <w:noWrap w:val="0"/>
                  <w:vAlign w:val="center"/>
                </w:tcPr>
                <w:p w14:paraId="565963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灌装间</w:t>
                  </w:r>
                </w:p>
              </w:tc>
            </w:tr>
            <w:tr w14:paraId="73013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noWrap w:val="0"/>
                  <w:vAlign w:val="center"/>
                </w:tcPr>
                <w:p w14:paraId="4374E6E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13</w:t>
                  </w:r>
                </w:p>
              </w:tc>
              <w:tc>
                <w:tcPr>
                  <w:tcW w:w="238" w:type="pct"/>
                  <w:vMerge w:val="continue"/>
                  <w:noWrap w:val="0"/>
                  <w:vAlign w:val="center"/>
                </w:tcPr>
                <w:p w14:paraId="5ADA23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p>
              </w:tc>
              <w:tc>
                <w:tcPr>
                  <w:tcW w:w="735" w:type="pct"/>
                  <w:noWrap w:val="0"/>
                  <w:vAlign w:val="center"/>
                </w:tcPr>
                <w:p w14:paraId="20B583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包装箱</w:t>
                  </w:r>
                </w:p>
              </w:tc>
              <w:tc>
                <w:tcPr>
                  <w:tcW w:w="875" w:type="pct"/>
                  <w:noWrap w:val="0"/>
                  <w:vAlign w:val="center"/>
                </w:tcPr>
                <w:p w14:paraId="1CAA03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10万个</w:t>
                  </w:r>
                </w:p>
              </w:tc>
              <w:tc>
                <w:tcPr>
                  <w:tcW w:w="939" w:type="pct"/>
                  <w:noWrap w:val="0"/>
                  <w:vAlign w:val="center"/>
                </w:tcPr>
                <w:p w14:paraId="5ED794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1万个</w:t>
                  </w:r>
                </w:p>
              </w:tc>
              <w:tc>
                <w:tcPr>
                  <w:tcW w:w="820" w:type="pct"/>
                  <w:noWrap w:val="0"/>
                  <w:vAlign w:val="center"/>
                </w:tcPr>
                <w:p w14:paraId="01923A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1000" w:type="pct"/>
                  <w:noWrap w:val="0"/>
                  <w:vAlign w:val="center"/>
                </w:tcPr>
                <w:p w14:paraId="6C3990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成品库</w:t>
                  </w:r>
                </w:p>
              </w:tc>
            </w:tr>
            <w:bookmarkEnd w:id="18"/>
            <w:bookmarkEnd w:id="19"/>
            <w:tr w14:paraId="4E913C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393BDD1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14</w:t>
                  </w:r>
                </w:p>
              </w:tc>
              <w:tc>
                <w:tcPr>
                  <w:tcW w:w="238" w:type="pct"/>
                  <w:vMerge w:val="restart"/>
                  <w:vAlign w:val="center"/>
                </w:tcPr>
                <w:p w14:paraId="28CFF7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能源</w:t>
                  </w:r>
                </w:p>
              </w:tc>
              <w:tc>
                <w:tcPr>
                  <w:tcW w:w="735" w:type="pct"/>
                  <w:vAlign w:val="center"/>
                </w:tcPr>
                <w:p w14:paraId="1A1C4D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FF0000"/>
                      <w:sz w:val="21"/>
                      <w:szCs w:val="21"/>
                      <w:highlight w:val="none"/>
                      <w:lang w:val="en-US" w:eastAsia="zh-CN"/>
                    </w:rPr>
                  </w:pPr>
                  <w:r>
                    <w:rPr>
                      <w:rFonts w:hint="eastAsia" w:cs="Times New Roman"/>
                      <w:color w:val="FF0000"/>
                      <w:sz w:val="21"/>
                      <w:szCs w:val="21"/>
                      <w:highlight w:val="none"/>
                      <w:lang w:val="en-US" w:eastAsia="zh-CN"/>
                    </w:rPr>
                    <w:t>水</w:t>
                  </w:r>
                </w:p>
              </w:tc>
              <w:tc>
                <w:tcPr>
                  <w:tcW w:w="875" w:type="pct"/>
                  <w:vAlign w:val="center"/>
                </w:tcPr>
                <w:p w14:paraId="4CDF1C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cs="Times New Roman"/>
                      <w:color w:val="FF0000"/>
                      <w:sz w:val="21"/>
                      <w:szCs w:val="21"/>
                      <w:highlight w:val="none"/>
                      <w:lang w:val="en-US" w:eastAsia="zh-CN"/>
                    </w:rPr>
                    <w:t>663.2m</w:t>
                  </w:r>
                  <w:r>
                    <w:rPr>
                      <w:rFonts w:hint="eastAsia" w:cs="Times New Roman"/>
                      <w:color w:val="FF0000"/>
                      <w:sz w:val="21"/>
                      <w:szCs w:val="21"/>
                      <w:highlight w:val="none"/>
                      <w:vertAlign w:val="superscript"/>
                      <w:lang w:val="en-US" w:eastAsia="zh-CN"/>
                    </w:rPr>
                    <w:t>3</w:t>
                  </w:r>
                  <w:r>
                    <w:rPr>
                      <w:rFonts w:hint="eastAsia"/>
                      <w:b w:val="0"/>
                      <w:bCs w:val="0"/>
                      <w:color w:val="FF0000"/>
                      <w:sz w:val="21"/>
                      <w:szCs w:val="21"/>
                      <w:highlight w:val="none"/>
                      <w:vertAlign w:val="superscript"/>
                      <w:lang w:val="en-US" w:eastAsia="zh-CN"/>
                    </w:rPr>
                    <w:t>/</w:t>
                  </w:r>
                  <w:r>
                    <w:rPr>
                      <w:rFonts w:hint="eastAsia"/>
                      <w:b w:val="0"/>
                      <w:bCs w:val="0"/>
                      <w:color w:val="FF0000"/>
                      <w:sz w:val="21"/>
                      <w:szCs w:val="21"/>
                      <w:highlight w:val="none"/>
                      <w:lang w:val="en-US" w:eastAsia="zh-CN"/>
                    </w:rPr>
                    <w:t>a</w:t>
                  </w:r>
                </w:p>
              </w:tc>
              <w:tc>
                <w:tcPr>
                  <w:tcW w:w="939" w:type="pct"/>
                  <w:vAlign w:val="center"/>
                </w:tcPr>
                <w:p w14:paraId="14CF75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820" w:type="pct"/>
                  <w:vAlign w:val="center"/>
                </w:tcPr>
                <w:p w14:paraId="41ADCA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1000" w:type="pct"/>
                  <w:vAlign w:val="center"/>
                </w:tcPr>
                <w:p w14:paraId="136943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r>
            <w:tr w14:paraId="46DAEB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072B917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15</w:t>
                  </w:r>
                </w:p>
              </w:tc>
              <w:tc>
                <w:tcPr>
                  <w:tcW w:w="238" w:type="pct"/>
                  <w:vMerge w:val="continue"/>
                  <w:vAlign w:val="center"/>
                </w:tcPr>
                <w:p w14:paraId="50B866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highlight w:val="none"/>
                      <w:lang w:val="en-US" w:eastAsia="zh-CN"/>
                    </w:rPr>
                  </w:pPr>
                </w:p>
              </w:tc>
              <w:tc>
                <w:tcPr>
                  <w:tcW w:w="735" w:type="pct"/>
                  <w:vAlign w:val="center"/>
                </w:tcPr>
                <w:p w14:paraId="06E48B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电</w:t>
                  </w:r>
                </w:p>
              </w:tc>
              <w:tc>
                <w:tcPr>
                  <w:tcW w:w="875" w:type="pct"/>
                  <w:vAlign w:val="center"/>
                </w:tcPr>
                <w:p w14:paraId="2CABE0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w:t>
                  </w:r>
                  <w:r>
                    <w:rPr>
                      <w:rFonts w:hint="eastAsia" w:ascii="Times New Roman" w:hAnsi="Times New Roman" w:eastAsia="宋体" w:cs="Times New Roman"/>
                      <w:color w:val="auto"/>
                      <w:sz w:val="21"/>
                      <w:szCs w:val="21"/>
                      <w:highlight w:val="none"/>
                      <w:lang w:val="en-US" w:eastAsia="zh-CN"/>
                    </w:rPr>
                    <w:t>万kW·h/a</w:t>
                  </w:r>
                </w:p>
              </w:tc>
              <w:tc>
                <w:tcPr>
                  <w:tcW w:w="939" w:type="pct"/>
                  <w:vAlign w:val="center"/>
                </w:tcPr>
                <w:p w14:paraId="2A26A2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820" w:type="pct"/>
                  <w:vAlign w:val="center"/>
                </w:tcPr>
                <w:p w14:paraId="137DB3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1000" w:type="pct"/>
                  <w:vAlign w:val="center"/>
                </w:tcPr>
                <w:p w14:paraId="31D1A7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r>
            <w:tr w14:paraId="16DAAB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13BD9C1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16</w:t>
                  </w:r>
                </w:p>
              </w:tc>
              <w:tc>
                <w:tcPr>
                  <w:tcW w:w="238" w:type="pct"/>
                  <w:vMerge w:val="continue"/>
                  <w:vAlign w:val="center"/>
                </w:tcPr>
                <w:p w14:paraId="3225A2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735" w:type="pct"/>
                  <w:vAlign w:val="center"/>
                </w:tcPr>
                <w:p w14:paraId="430C77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机油</w:t>
                  </w:r>
                </w:p>
              </w:tc>
              <w:tc>
                <w:tcPr>
                  <w:tcW w:w="875" w:type="pct"/>
                  <w:vAlign w:val="center"/>
                </w:tcPr>
                <w:p w14:paraId="041D3C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0.05</w:t>
                  </w:r>
                </w:p>
              </w:tc>
              <w:tc>
                <w:tcPr>
                  <w:tcW w:w="939" w:type="pct"/>
                  <w:vAlign w:val="center"/>
                </w:tcPr>
                <w:p w14:paraId="4F38C1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0.01</w:t>
                  </w:r>
                </w:p>
              </w:tc>
              <w:tc>
                <w:tcPr>
                  <w:tcW w:w="820" w:type="pct"/>
                  <w:vAlign w:val="center"/>
                </w:tcPr>
                <w:p w14:paraId="0E9A8A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lang w:val="en-US" w:eastAsia="zh-CN"/>
                    </w:rPr>
                    <w:t>20kg/桶</w:t>
                  </w:r>
                </w:p>
              </w:tc>
              <w:tc>
                <w:tcPr>
                  <w:tcW w:w="1000" w:type="pct"/>
                  <w:vAlign w:val="center"/>
                </w:tcPr>
                <w:p w14:paraId="6D9369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库房</w:t>
                  </w:r>
                </w:p>
              </w:tc>
            </w:tr>
            <w:tr w14:paraId="392847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4C713E1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17</w:t>
                  </w:r>
                </w:p>
              </w:tc>
              <w:tc>
                <w:tcPr>
                  <w:tcW w:w="238" w:type="pct"/>
                  <w:vAlign w:val="center"/>
                </w:tcPr>
                <w:p w14:paraId="6B6751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FF0000"/>
                      <w:sz w:val="21"/>
                      <w:szCs w:val="21"/>
                      <w:highlight w:val="none"/>
                      <w:lang w:val="en-US" w:eastAsia="zh-CN"/>
                    </w:rPr>
                  </w:pPr>
                  <w:r>
                    <w:rPr>
                      <w:rFonts w:hint="eastAsia" w:cs="Times New Roman"/>
                      <w:color w:val="FF0000"/>
                      <w:sz w:val="21"/>
                      <w:szCs w:val="21"/>
                      <w:highlight w:val="none"/>
                      <w:lang w:val="en-US" w:eastAsia="zh-CN"/>
                    </w:rPr>
                    <w:t>制冷</w:t>
                  </w:r>
                </w:p>
              </w:tc>
              <w:tc>
                <w:tcPr>
                  <w:tcW w:w="735" w:type="pct"/>
                  <w:vAlign w:val="center"/>
                </w:tcPr>
                <w:p w14:paraId="210CB7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FF0000"/>
                      <w:sz w:val="21"/>
                      <w:szCs w:val="21"/>
                      <w:highlight w:val="none"/>
                      <w:lang w:val="en-US" w:eastAsia="zh-CN"/>
                    </w:rPr>
                  </w:pPr>
                  <w:r>
                    <w:rPr>
                      <w:rFonts w:hint="eastAsia" w:cs="Times New Roman"/>
                      <w:color w:val="FF0000"/>
                      <w:sz w:val="21"/>
                      <w:szCs w:val="21"/>
                      <w:highlight w:val="none"/>
                      <w:lang w:val="en-US" w:eastAsia="zh-CN"/>
                    </w:rPr>
                    <w:t>R404a制冷剂</w:t>
                  </w:r>
                </w:p>
              </w:tc>
              <w:tc>
                <w:tcPr>
                  <w:tcW w:w="875" w:type="pct"/>
                  <w:vAlign w:val="center"/>
                </w:tcPr>
                <w:p w14:paraId="37E227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cs="Times New Roman"/>
                      <w:color w:val="FF0000"/>
                      <w:sz w:val="21"/>
                      <w:szCs w:val="21"/>
                      <w:highlight w:val="none"/>
                      <w:lang w:val="en-US" w:eastAsia="zh-CN"/>
                    </w:rPr>
                    <w:t>0.3</w:t>
                  </w:r>
                </w:p>
              </w:tc>
              <w:tc>
                <w:tcPr>
                  <w:tcW w:w="939" w:type="pct"/>
                  <w:vAlign w:val="center"/>
                </w:tcPr>
                <w:p w14:paraId="0AAE68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cs="Times New Roman"/>
                      <w:color w:val="FF0000"/>
                      <w:sz w:val="21"/>
                      <w:szCs w:val="21"/>
                      <w:highlight w:val="none"/>
                      <w:lang w:val="en-US" w:eastAsia="zh-CN"/>
                    </w:rPr>
                    <w:t>/</w:t>
                  </w:r>
                </w:p>
              </w:tc>
              <w:tc>
                <w:tcPr>
                  <w:tcW w:w="820" w:type="pct"/>
                  <w:vAlign w:val="center"/>
                </w:tcPr>
                <w:p w14:paraId="0AB716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cs="Times New Roman"/>
                      <w:color w:val="FF0000"/>
                      <w:sz w:val="21"/>
                      <w:szCs w:val="21"/>
                      <w:highlight w:val="none"/>
                      <w:lang w:val="en-US" w:eastAsia="zh-CN"/>
                    </w:rPr>
                    <w:t>/</w:t>
                  </w:r>
                </w:p>
              </w:tc>
              <w:tc>
                <w:tcPr>
                  <w:tcW w:w="1000" w:type="pct"/>
                  <w:vAlign w:val="center"/>
                </w:tcPr>
                <w:p w14:paraId="55E371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cs="Times New Roman"/>
                      <w:color w:val="FF0000"/>
                      <w:sz w:val="21"/>
                      <w:szCs w:val="21"/>
                      <w:highlight w:val="none"/>
                      <w:lang w:val="en-US" w:eastAsia="zh-CN"/>
                    </w:rPr>
                    <w:t>供应商直接更换</w:t>
                  </w:r>
                </w:p>
              </w:tc>
            </w:tr>
          </w:tbl>
          <w:p w14:paraId="29677979">
            <w:pPr>
              <w:spacing w:line="240" w:lineRule="auto"/>
              <w:ind w:firstLine="0" w:firstLineChars="0"/>
              <w:jc w:val="center"/>
              <w:rPr>
                <w:rFonts w:hint="eastAsia" w:cs="宋体"/>
                <w:b/>
                <w:bCs/>
                <w:color w:val="auto"/>
                <w:kern w:val="0"/>
                <w:sz w:val="21"/>
                <w:szCs w:val="21"/>
                <w:highlight w:val="none"/>
                <w:lang w:val="en-US" w:eastAsia="zh-CN"/>
              </w:rPr>
            </w:pPr>
            <w:r>
              <w:rPr>
                <w:rFonts w:hint="eastAsia" w:ascii="Times New Roman" w:hAnsi="Times New Roman" w:eastAsia="宋体" w:cs="宋体"/>
                <w:b/>
                <w:bCs/>
                <w:color w:val="auto"/>
                <w:kern w:val="0"/>
                <w:sz w:val="21"/>
                <w:szCs w:val="21"/>
                <w:highlight w:val="none"/>
                <w:lang w:eastAsia="zh-CN"/>
              </w:rPr>
              <w:t>表</w:t>
            </w:r>
            <w:r>
              <w:rPr>
                <w:rFonts w:hint="eastAsia" w:cs="宋体"/>
                <w:b/>
                <w:bCs/>
                <w:color w:val="auto"/>
                <w:kern w:val="0"/>
                <w:sz w:val="21"/>
                <w:szCs w:val="21"/>
                <w:highlight w:val="none"/>
                <w:lang w:val="en-US" w:eastAsia="zh-CN"/>
              </w:rPr>
              <w:t>2-4 主要原辅料理化性质一览表</w:t>
            </w:r>
          </w:p>
          <w:tbl>
            <w:tblPr>
              <w:tblStyle w:val="26"/>
              <w:tblW w:w="0" w:type="auto"/>
              <w:tblInd w:w="-1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2025"/>
              <w:gridCol w:w="6925"/>
            </w:tblGrid>
            <w:tr w14:paraId="633860D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2032" w:type="dxa"/>
                  <w:tcBorders>
                    <w:tl2br w:val="nil"/>
                    <w:tr2bl w:val="nil"/>
                  </w:tcBorders>
                  <w:vAlign w:val="center"/>
                </w:tcPr>
                <w:p w14:paraId="6716508D">
                  <w:pPr>
                    <w:spacing w:line="240" w:lineRule="auto"/>
                    <w:jc w:val="center"/>
                    <w:rPr>
                      <w:rFonts w:hint="default" w:cs="宋体"/>
                      <w:b/>
                      <w:bCs/>
                      <w:color w:val="auto"/>
                      <w:kern w:val="0"/>
                      <w:sz w:val="21"/>
                      <w:szCs w:val="21"/>
                      <w:highlight w:val="none"/>
                      <w:vertAlign w:val="baseline"/>
                      <w:lang w:val="en-US" w:eastAsia="zh-CN"/>
                    </w:rPr>
                  </w:pPr>
                  <w:r>
                    <w:rPr>
                      <w:rFonts w:hint="eastAsia" w:cs="宋体"/>
                      <w:b/>
                      <w:bCs/>
                      <w:color w:val="auto"/>
                      <w:kern w:val="0"/>
                      <w:sz w:val="21"/>
                      <w:szCs w:val="21"/>
                      <w:highlight w:val="none"/>
                      <w:vertAlign w:val="baseline"/>
                      <w:lang w:val="en-US" w:eastAsia="zh-CN"/>
                    </w:rPr>
                    <w:t>名称</w:t>
                  </w:r>
                </w:p>
              </w:tc>
              <w:tc>
                <w:tcPr>
                  <w:tcW w:w="6958" w:type="dxa"/>
                  <w:tcBorders>
                    <w:tl2br w:val="nil"/>
                    <w:tr2bl w:val="nil"/>
                  </w:tcBorders>
                  <w:vAlign w:val="center"/>
                </w:tcPr>
                <w:p w14:paraId="06E99546">
                  <w:pPr>
                    <w:spacing w:line="240" w:lineRule="auto"/>
                    <w:jc w:val="center"/>
                    <w:rPr>
                      <w:rFonts w:hint="default" w:cs="宋体"/>
                      <w:b/>
                      <w:bCs/>
                      <w:color w:val="auto"/>
                      <w:kern w:val="0"/>
                      <w:sz w:val="21"/>
                      <w:szCs w:val="21"/>
                      <w:highlight w:val="none"/>
                      <w:vertAlign w:val="baseline"/>
                      <w:lang w:val="en-US" w:eastAsia="zh-CN"/>
                    </w:rPr>
                  </w:pPr>
                  <w:r>
                    <w:rPr>
                      <w:rFonts w:hint="eastAsia" w:cs="宋体"/>
                      <w:b/>
                      <w:bCs/>
                      <w:color w:val="auto"/>
                      <w:kern w:val="0"/>
                      <w:sz w:val="21"/>
                      <w:szCs w:val="21"/>
                      <w:highlight w:val="none"/>
                      <w:vertAlign w:val="baseline"/>
                      <w:lang w:val="en-US" w:eastAsia="zh-CN"/>
                    </w:rPr>
                    <w:t>理化性质</w:t>
                  </w:r>
                </w:p>
              </w:tc>
            </w:tr>
            <w:tr w14:paraId="65E6004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2032" w:type="dxa"/>
                  <w:tcBorders>
                    <w:tl2br w:val="nil"/>
                    <w:tr2bl w:val="nil"/>
                  </w:tcBorders>
                  <w:vAlign w:val="center"/>
                </w:tcPr>
                <w:p w14:paraId="01726A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宋体"/>
                      <w:b/>
                      <w:bCs/>
                      <w:color w:val="FF0000"/>
                      <w:kern w:val="0"/>
                      <w:sz w:val="21"/>
                      <w:szCs w:val="21"/>
                      <w:highlight w:val="none"/>
                      <w:vertAlign w:val="baseline"/>
                      <w:lang w:val="en-US" w:eastAsia="zh-CN"/>
                    </w:rPr>
                  </w:pPr>
                  <w:r>
                    <w:rPr>
                      <w:rFonts w:hint="eastAsia" w:ascii="Times New Roman" w:hAnsi="Times New Roman" w:eastAsia="宋体" w:cs="Times New Roman"/>
                      <w:b w:val="0"/>
                      <w:bCs w:val="0"/>
                      <w:color w:val="FF0000"/>
                      <w:sz w:val="21"/>
                      <w:szCs w:val="21"/>
                      <w:highlight w:val="none"/>
                      <w:lang w:val="en-US" w:eastAsia="zh-CN"/>
                    </w:rPr>
                    <w:t>焦亚硫酸钾</w:t>
                  </w:r>
                </w:p>
              </w:tc>
              <w:tc>
                <w:tcPr>
                  <w:tcW w:w="6958" w:type="dxa"/>
                  <w:tcBorders>
                    <w:tl2br w:val="nil"/>
                    <w:tr2bl w:val="nil"/>
                  </w:tcBorders>
                  <w:vAlign w:val="center"/>
                </w:tcPr>
                <w:p w14:paraId="45EB36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sz w:val="21"/>
                      <w:szCs w:val="21"/>
                      <w:highlight w:val="none"/>
                      <w:lang w:val="en-US" w:eastAsia="zh-CN"/>
                    </w:rPr>
                  </w:pPr>
                  <w:r>
                    <w:rPr>
                      <w:rFonts w:hint="default" w:ascii="Times New Roman" w:hAnsi="Times New Roman" w:eastAsia="宋体" w:cs="Times New Roman"/>
                      <w:b w:val="0"/>
                      <w:bCs w:val="0"/>
                      <w:color w:val="FF0000"/>
                      <w:sz w:val="21"/>
                      <w:szCs w:val="21"/>
                      <w:highlight w:val="none"/>
                      <w:lang w:val="en-US" w:eastAsia="zh-CN"/>
                    </w:rPr>
                    <w:t>焦亚硫酸钾在空气中缓慢氧化成硫酸钾，在湿空气中氧化更快。与酸接触放出刺激性很强的二氧化硫气体。呈强还原性，加热至190°C时分解，研磨成粉灼热时能燃烧。焦亚硫酸钾遇酸分解生成二氧化硫。易溶于水，微溶于乙醇，不溶于乙醚。焦亚硫酸钾在干燥的空气中稳定，在潮湿空气中易释放出二氧化硫，水溶液可被空气氧化为硫酸钾。焦亚硫酸钾用作食品漂白剂、保存剂和抗氧化剂。本项目采用食品级焦亚硫酸钾。</w:t>
                  </w:r>
                </w:p>
              </w:tc>
            </w:tr>
            <w:tr w14:paraId="76086B9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2032" w:type="dxa"/>
                  <w:tcBorders>
                    <w:tl2br w:val="nil"/>
                    <w:tr2bl w:val="nil"/>
                  </w:tcBorders>
                  <w:vAlign w:val="center"/>
                </w:tcPr>
                <w:p w14:paraId="03172D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菲林试剂</w:t>
                  </w:r>
                </w:p>
              </w:tc>
              <w:tc>
                <w:tcPr>
                  <w:tcW w:w="6958" w:type="dxa"/>
                  <w:tcBorders>
                    <w:tl2br w:val="nil"/>
                    <w:tr2bl w:val="nil"/>
                  </w:tcBorders>
                  <w:vAlign w:val="center"/>
                </w:tcPr>
                <w:p w14:paraId="2B26AD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菲林</w:t>
                  </w:r>
                  <w:r>
                    <w:rPr>
                      <w:rFonts w:hint="default" w:ascii="Times New Roman" w:hAnsi="Times New Roman" w:eastAsia="宋体" w:cs="Times New Roman"/>
                      <w:b w:val="0"/>
                      <w:bCs w:val="0"/>
                      <w:color w:val="auto"/>
                      <w:sz w:val="21"/>
                      <w:szCs w:val="21"/>
                      <w:highlight w:val="none"/>
                      <w:lang w:val="en-US" w:eastAsia="zh-CN"/>
                    </w:rPr>
                    <w:t>试剂是由氢氧化钠的含量为0.1g/mL的溶液和硫酸铜的含量为0.05g/mL的溶液，还有含量为0.2g/mL酒石酸钾钠配制而成的，其本质是铜离子和酒石酸形成的配合物——酒石酸合铜。</w:t>
                  </w:r>
                </w:p>
              </w:tc>
            </w:tr>
            <w:tr w14:paraId="0690A85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2032" w:type="dxa"/>
                  <w:tcBorders>
                    <w:tl2br w:val="nil"/>
                    <w:tr2bl w:val="nil"/>
                  </w:tcBorders>
                  <w:vAlign w:val="center"/>
                </w:tcPr>
                <w:p w14:paraId="33B5E4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氢氧化钠溶液</w:t>
                  </w:r>
                </w:p>
              </w:tc>
              <w:tc>
                <w:tcPr>
                  <w:tcW w:w="6958" w:type="dxa"/>
                  <w:tcBorders>
                    <w:tl2br w:val="nil"/>
                    <w:tr2bl w:val="nil"/>
                  </w:tcBorders>
                  <w:vAlign w:val="center"/>
                </w:tcPr>
                <w:p w14:paraId="7BA36C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无色透明液体，密度2.130g/cm</w:t>
                  </w:r>
                  <w:r>
                    <w:rPr>
                      <w:rFonts w:hint="eastAsia"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，熔点318.4℃，沸点1390℃，易溶于水、乙醇、甘油，不溶于丙酮。</w:t>
                  </w:r>
                </w:p>
                <w:p w14:paraId="616607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氢氧化钠溶液具有强腐蚀性，能与酸发生中和反应并放热。它不会燃烧，但遇水和水蒸气会大量放热，形成腐蚀性溶液。</w:t>
                  </w:r>
                </w:p>
              </w:tc>
            </w:tr>
            <w:tr w14:paraId="7308063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2032" w:type="dxa"/>
                  <w:tcBorders>
                    <w:tl2br w:val="nil"/>
                    <w:tr2bl w:val="nil"/>
                  </w:tcBorders>
                  <w:vAlign w:val="center"/>
                </w:tcPr>
                <w:p w14:paraId="14D83F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酚酞指示剂</w:t>
                  </w:r>
                </w:p>
              </w:tc>
              <w:tc>
                <w:tcPr>
                  <w:tcW w:w="6958" w:type="dxa"/>
                  <w:tcBorders>
                    <w:tl2br w:val="nil"/>
                    <w:tr2bl w:val="nil"/>
                  </w:tcBorders>
                  <w:vAlign w:val="center"/>
                </w:tcPr>
                <w:p w14:paraId="36D805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白色晶体粉末状</w:t>
                  </w:r>
                  <w:r>
                    <w:rPr>
                      <w:rFonts w:hint="eastAsia"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透明液体</w:t>
                  </w:r>
                  <w:r>
                    <w:rPr>
                      <w:rFonts w:hint="eastAsia" w:cs="Times New Roman"/>
                      <w:b w:val="0"/>
                      <w:bCs w:val="0"/>
                      <w:color w:val="auto"/>
                      <w:sz w:val="21"/>
                      <w:szCs w:val="21"/>
                      <w:highlight w:val="none"/>
                      <w:lang w:val="en-US" w:eastAsia="zh-CN"/>
                    </w:rPr>
                    <w:t>，常见的</w:t>
                  </w:r>
                  <w:r>
                    <w:rPr>
                      <w:rFonts w:hint="eastAsia" w:cs="Times New Roman"/>
                      <w:b w:val="0"/>
                      <w:bCs w:val="0"/>
                      <w:color w:val="auto"/>
                      <w:sz w:val="21"/>
                      <w:szCs w:val="21"/>
                      <w:highlight w:val="none"/>
                      <w:lang w:val="en-US" w:eastAsia="zh-CN"/>
                    </w:rPr>
                    <w:fldChar w:fldCharType="begin"/>
                  </w:r>
                  <w:r>
                    <w:rPr>
                      <w:rFonts w:hint="eastAsia" w:cs="Times New Roman"/>
                      <w:b w:val="0"/>
                      <w:bCs w:val="0"/>
                      <w:color w:val="auto"/>
                      <w:sz w:val="21"/>
                      <w:szCs w:val="21"/>
                      <w:highlight w:val="none"/>
                      <w:lang w:val="en-US" w:eastAsia="zh-CN"/>
                    </w:rPr>
                    <w:instrText xml:space="preserve"> HYPERLINK "https://baike.so.com/doc/2297774-2430715.html" \t "https://baike.so.com/doc/_blank" </w:instrText>
                  </w:r>
                  <w:r>
                    <w:rPr>
                      <w:rFonts w:hint="eastAsia" w:cs="Times New Roman"/>
                      <w:b w:val="0"/>
                      <w:bCs w:val="0"/>
                      <w:color w:val="auto"/>
                      <w:sz w:val="21"/>
                      <w:szCs w:val="21"/>
                      <w:highlight w:val="none"/>
                      <w:lang w:val="en-US" w:eastAsia="zh-CN"/>
                    </w:rPr>
                    <w:fldChar w:fldCharType="separate"/>
                  </w:r>
                  <w:r>
                    <w:rPr>
                      <w:rFonts w:hint="eastAsia" w:cs="Times New Roman"/>
                      <w:b w:val="0"/>
                      <w:bCs w:val="0"/>
                      <w:color w:val="auto"/>
                      <w:sz w:val="21"/>
                      <w:szCs w:val="21"/>
                      <w:highlight w:val="none"/>
                      <w:lang w:val="en-US" w:eastAsia="zh-CN"/>
                    </w:rPr>
                    <w:t>酸碱指示剂</w:t>
                  </w:r>
                  <w:r>
                    <w:rPr>
                      <w:rFonts w:hint="eastAsia" w:cs="Times New Roman"/>
                      <w:b w:val="0"/>
                      <w:bCs w:val="0"/>
                      <w:color w:val="auto"/>
                      <w:sz w:val="21"/>
                      <w:szCs w:val="21"/>
                      <w:highlight w:val="none"/>
                      <w:lang w:val="en-US" w:eastAsia="zh-CN"/>
                    </w:rPr>
                    <w:fldChar w:fldCharType="end"/>
                  </w:r>
                  <w:r>
                    <w:rPr>
                      <w:rFonts w:hint="eastAsia" w:cs="Times New Roman"/>
                      <w:b w:val="0"/>
                      <w:bCs w:val="0"/>
                      <w:color w:val="auto"/>
                      <w:sz w:val="21"/>
                      <w:szCs w:val="21"/>
                      <w:highlight w:val="none"/>
                      <w:lang w:val="en-US" w:eastAsia="zh-CN"/>
                    </w:rPr>
                    <w:t>之一，由酚酞溶解在酒精溶液中而成。在酸性或中性溶液中呈无色，在碱性溶液中呈红色。</w:t>
                  </w:r>
                </w:p>
              </w:tc>
            </w:tr>
            <w:tr w14:paraId="76A346D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2032" w:type="dxa"/>
                  <w:tcBorders>
                    <w:tl2br w:val="nil"/>
                    <w:tr2bl w:val="nil"/>
                  </w:tcBorders>
                  <w:vAlign w:val="center"/>
                </w:tcPr>
                <w:p w14:paraId="3D710A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碘标准液</w:t>
                  </w:r>
                </w:p>
              </w:tc>
              <w:tc>
                <w:tcPr>
                  <w:tcW w:w="6958" w:type="dxa"/>
                  <w:tcBorders>
                    <w:tl2br w:val="nil"/>
                    <w:tr2bl w:val="nil"/>
                  </w:tcBorders>
                  <w:vAlign w:val="center"/>
                </w:tcPr>
                <w:p w14:paraId="277185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深棕色或黄褐色透明液体</w:t>
                  </w:r>
                  <w:r>
                    <w:rPr>
                      <w:rFonts w:hint="eastAsia" w:cs="Times New Roman"/>
                      <w:b w:val="0"/>
                      <w:bCs w:val="0"/>
                      <w:color w:val="auto"/>
                      <w:sz w:val="21"/>
                      <w:szCs w:val="21"/>
                      <w:highlight w:val="none"/>
                      <w:lang w:val="en-US" w:eastAsia="zh-CN"/>
                    </w:rPr>
                    <w:t>。主要成分为碘单质与碘化钾形成的可溶性复合物，从而提高碘在水中的溶解度。微溶于乙醇、乙醚；易溶于四氯化碳、氯仿等非极性有机溶剂。</w:t>
                  </w:r>
                </w:p>
              </w:tc>
            </w:tr>
            <w:tr w14:paraId="72EFD94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2032" w:type="dxa"/>
                  <w:tcBorders>
                    <w:tl2br w:val="nil"/>
                    <w:tr2bl w:val="nil"/>
                  </w:tcBorders>
                  <w:vAlign w:val="center"/>
                </w:tcPr>
                <w:p w14:paraId="71B653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FF0000"/>
                      <w:sz w:val="21"/>
                      <w:szCs w:val="21"/>
                      <w:highlight w:val="none"/>
                      <w:lang w:val="en-US" w:eastAsia="zh-CN"/>
                    </w:rPr>
                  </w:pPr>
                  <w:r>
                    <w:rPr>
                      <w:rFonts w:hint="default" w:ascii="Times New Roman" w:hAnsi="Times New Roman" w:eastAsia="宋体" w:cs="Times New Roman"/>
                      <w:b w:val="0"/>
                      <w:bCs w:val="0"/>
                      <w:color w:val="FF0000"/>
                      <w:sz w:val="21"/>
                      <w:szCs w:val="21"/>
                      <w:highlight w:val="none"/>
                      <w:lang w:val="en-US" w:eastAsia="zh-CN"/>
                    </w:rPr>
                    <w:t>R404a环保型制冷剂</w:t>
                  </w:r>
                </w:p>
              </w:tc>
              <w:tc>
                <w:tcPr>
                  <w:tcW w:w="6958" w:type="dxa"/>
                  <w:tcBorders>
                    <w:tl2br w:val="nil"/>
                    <w:tr2bl w:val="nil"/>
                  </w:tcBorders>
                  <w:vAlign w:val="center"/>
                </w:tcPr>
                <w:p w14:paraId="7994E2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sz w:val="21"/>
                      <w:szCs w:val="21"/>
                      <w:highlight w:val="none"/>
                      <w:lang w:val="en-US" w:eastAsia="zh-CN"/>
                    </w:rPr>
                  </w:pPr>
                  <w:r>
                    <w:rPr>
                      <w:rFonts w:hint="default" w:ascii="Times New Roman" w:hAnsi="Times New Roman" w:eastAsia="宋体" w:cs="Times New Roman"/>
                      <w:b w:val="0"/>
                      <w:bCs w:val="0"/>
                      <w:color w:val="FF0000"/>
                      <w:sz w:val="21"/>
                      <w:szCs w:val="21"/>
                      <w:highlight w:val="none"/>
                      <w:lang w:val="en-US" w:eastAsia="zh-CN"/>
                    </w:rPr>
                    <w:t>R404a环保型制冷剂为五氟乙烷、三氟乙烷、四氟乙烷的混合物，在常温下为无色气体，在自身压力下为无色透明液体。沸点-46.1°C，101.3KPa、临界温度72.4°C，临界压力3688.7KPa、液体密度1.045g/cm</w:t>
                  </w:r>
                  <w:r>
                    <w:rPr>
                      <w:rFonts w:hint="default" w:ascii="Times New Roman" w:hAnsi="Times New Roman" w:eastAsia="宋体" w:cs="Times New Roman"/>
                      <w:b w:val="0"/>
                      <w:bCs w:val="0"/>
                      <w:color w:val="FF0000"/>
                      <w:sz w:val="21"/>
                      <w:szCs w:val="21"/>
                      <w:highlight w:val="none"/>
                      <w:vertAlign w:val="superscript"/>
                      <w:lang w:val="en-US" w:eastAsia="zh-CN"/>
                    </w:rPr>
                    <w:t>3</w:t>
                  </w:r>
                  <w:r>
                    <w:rPr>
                      <w:rFonts w:hint="default" w:ascii="Times New Roman" w:hAnsi="Times New Roman" w:eastAsia="宋体" w:cs="Times New Roman"/>
                      <w:b w:val="0"/>
                      <w:bCs w:val="0"/>
                      <w:color w:val="FF0000"/>
                      <w:sz w:val="21"/>
                      <w:szCs w:val="21"/>
                      <w:highlight w:val="none"/>
                      <w:lang w:val="en-US" w:eastAsia="zh-CN"/>
                    </w:rPr>
                    <w:t>，25°C。R404A是替代氟利昂R22和R502的最普遍的工业标准制冷剂(通常为低温冷冻系统)，得到全球绝大多数的制冷设备制造商的认可和使用。作为当今广泛使用的中低温制冷剂，常应用于冷库、食品冷冻设备、船用制冷设备、工业低温制冷、商业低温制冷、交通运输制冷设备(冷藏车等)、冷冻冷凝机组等制冷设备。</w:t>
                  </w:r>
                </w:p>
              </w:tc>
            </w:tr>
          </w:tbl>
          <w:p w14:paraId="13359F4F">
            <w:pPr>
              <w:ind w:firstLine="482"/>
              <w:rPr>
                <w:rFonts w:ascii="Times New Roman" w:hAnsi="Times New Roman" w:eastAsia="宋体"/>
                <w:b/>
                <w:bCs/>
                <w:color w:val="auto"/>
                <w:kern w:val="0"/>
                <w:highlight w:val="none"/>
              </w:rPr>
            </w:pPr>
            <w:r>
              <w:rPr>
                <w:rFonts w:hint="eastAsia" w:ascii="Times New Roman" w:hAnsi="Times New Roman" w:eastAsia="宋体"/>
                <w:b/>
                <w:bCs/>
                <w:color w:val="auto"/>
                <w:kern w:val="0"/>
                <w:highlight w:val="none"/>
              </w:rPr>
              <w:t>2.</w:t>
            </w:r>
            <w:r>
              <w:rPr>
                <w:rFonts w:hint="eastAsia"/>
                <w:b/>
                <w:bCs/>
                <w:color w:val="auto"/>
                <w:kern w:val="0"/>
                <w:highlight w:val="none"/>
                <w:lang w:val="en-US" w:eastAsia="zh-CN"/>
              </w:rPr>
              <w:t>3</w:t>
            </w:r>
            <w:r>
              <w:rPr>
                <w:rFonts w:hint="eastAsia" w:ascii="Times New Roman" w:hAnsi="Times New Roman"/>
                <w:b/>
                <w:bCs/>
                <w:color w:val="auto"/>
                <w:kern w:val="0"/>
                <w:highlight w:val="none"/>
                <w:lang w:val="en-US" w:eastAsia="zh-CN"/>
              </w:rPr>
              <w:t>.</w:t>
            </w:r>
            <w:r>
              <w:rPr>
                <w:rFonts w:hint="eastAsia"/>
                <w:b/>
                <w:bCs/>
                <w:color w:val="auto"/>
                <w:kern w:val="0"/>
                <w:highlight w:val="none"/>
                <w:lang w:val="en-US" w:eastAsia="zh-CN"/>
              </w:rPr>
              <w:t xml:space="preserve">4 </w:t>
            </w:r>
            <w:r>
              <w:rPr>
                <w:rFonts w:ascii="Times New Roman" w:hAnsi="Times New Roman" w:eastAsia="宋体"/>
                <w:b/>
                <w:bCs/>
                <w:color w:val="auto"/>
                <w:kern w:val="0"/>
                <w:highlight w:val="none"/>
              </w:rPr>
              <w:t>项目主要设备</w:t>
            </w:r>
          </w:p>
          <w:p w14:paraId="6B1A6E15">
            <w:pPr>
              <w:spacing w:line="360" w:lineRule="auto"/>
              <w:ind w:firstLine="480" w:firstLineChars="200"/>
              <w:rPr>
                <w:rFonts w:hint="eastAsia"/>
                <w:color w:val="auto"/>
                <w:sz w:val="24"/>
                <w:lang w:eastAsia="zh-CN"/>
              </w:rPr>
            </w:pPr>
            <w:r>
              <w:rPr>
                <w:rFonts w:hint="eastAsia"/>
                <w:color w:val="auto"/>
                <w:sz w:val="24"/>
              </w:rPr>
              <w:t>根据建设单位提供资料，本</w:t>
            </w:r>
            <w:r>
              <w:rPr>
                <w:color w:val="auto"/>
                <w:sz w:val="24"/>
              </w:rPr>
              <w:t>项目主要生产设备清单见</w:t>
            </w:r>
            <w:r>
              <w:rPr>
                <w:rFonts w:hint="eastAsia"/>
                <w:color w:val="auto"/>
                <w:sz w:val="24"/>
                <w:lang w:eastAsia="zh-CN"/>
              </w:rPr>
              <w:t>下表：</w:t>
            </w:r>
          </w:p>
          <w:p w14:paraId="7C448ADD">
            <w:pPr>
              <w:spacing w:line="240" w:lineRule="auto"/>
              <w:ind w:firstLine="0" w:firstLineChars="0"/>
              <w:jc w:val="center"/>
              <w:rPr>
                <w:rFonts w:hint="eastAsia" w:ascii="Times New Roman" w:hAnsi="Times New Roman" w:eastAsia="宋体" w:cs="宋体"/>
                <w:b/>
                <w:color w:val="auto"/>
                <w:kern w:val="0"/>
                <w:sz w:val="21"/>
                <w:szCs w:val="21"/>
                <w:highlight w:val="none"/>
              </w:rPr>
            </w:pPr>
            <w:bookmarkStart w:id="20" w:name="OLE_LINK67"/>
            <w:r>
              <w:rPr>
                <w:rFonts w:hint="eastAsia" w:ascii="Times New Roman" w:hAnsi="Times New Roman" w:eastAsia="宋体" w:cs="宋体"/>
                <w:b/>
                <w:color w:val="auto"/>
                <w:kern w:val="0"/>
                <w:sz w:val="21"/>
                <w:szCs w:val="21"/>
                <w:highlight w:val="none"/>
              </w:rPr>
              <w:t>表2-</w:t>
            </w:r>
            <w:r>
              <w:rPr>
                <w:rFonts w:hint="eastAsia" w:cs="宋体"/>
                <w:b/>
                <w:color w:val="auto"/>
                <w:kern w:val="0"/>
                <w:sz w:val="21"/>
                <w:szCs w:val="21"/>
                <w:highlight w:val="none"/>
                <w:lang w:val="en-US" w:eastAsia="zh-CN"/>
              </w:rPr>
              <w:t>4</w:t>
            </w:r>
            <w:r>
              <w:rPr>
                <w:rFonts w:hint="eastAsia" w:ascii="Times New Roman" w:hAnsi="Times New Roman" w:eastAsia="宋体" w:cs="宋体"/>
                <w:b/>
                <w:color w:val="auto"/>
                <w:kern w:val="0"/>
                <w:sz w:val="21"/>
                <w:szCs w:val="21"/>
                <w:highlight w:val="none"/>
              </w:rPr>
              <w:t xml:space="preserve"> 本项目主要设备一览表</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75"/>
              <w:gridCol w:w="2284"/>
              <w:gridCol w:w="1499"/>
              <w:gridCol w:w="1030"/>
              <w:gridCol w:w="1209"/>
              <w:gridCol w:w="2353"/>
            </w:tblGrid>
            <w:tr w14:paraId="4647EA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21" w:type="pct"/>
                  <w:tcBorders>
                    <w:tl2br w:val="nil"/>
                    <w:tr2bl w:val="nil"/>
                  </w:tcBorders>
                  <w:vAlign w:val="center"/>
                </w:tcPr>
                <w:p w14:paraId="18817B1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序号</w:t>
                  </w:r>
                </w:p>
              </w:tc>
              <w:tc>
                <w:tcPr>
                  <w:tcW w:w="1275" w:type="pct"/>
                  <w:tcBorders>
                    <w:tl2br w:val="nil"/>
                    <w:tr2bl w:val="nil"/>
                  </w:tcBorders>
                  <w:vAlign w:val="center"/>
                </w:tcPr>
                <w:p w14:paraId="240F013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设备名称</w:t>
                  </w:r>
                </w:p>
              </w:tc>
              <w:tc>
                <w:tcPr>
                  <w:tcW w:w="837" w:type="pct"/>
                  <w:tcBorders>
                    <w:tl2br w:val="nil"/>
                    <w:tr2bl w:val="nil"/>
                  </w:tcBorders>
                  <w:vAlign w:val="center"/>
                </w:tcPr>
                <w:p w14:paraId="7F0EBA8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型号/技术参数</w:t>
                  </w:r>
                </w:p>
              </w:tc>
              <w:tc>
                <w:tcPr>
                  <w:tcW w:w="575" w:type="pct"/>
                  <w:tcBorders>
                    <w:tl2br w:val="nil"/>
                    <w:tr2bl w:val="nil"/>
                  </w:tcBorders>
                  <w:vAlign w:val="center"/>
                </w:tcPr>
                <w:p w14:paraId="1A4ED4D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功率</w:t>
                  </w:r>
                </w:p>
              </w:tc>
              <w:tc>
                <w:tcPr>
                  <w:tcW w:w="675" w:type="pct"/>
                  <w:tcBorders>
                    <w:tl2br w:val="nil"/>
                    <w:tr2bl w:val="nil"/>
                  </w:tcBorders>
                  <w:vAlign w:val="center"/>
                </w:tcPr>
                <w:p w14:paraId="4B60968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数量</w:t>
                  </w:r>
                  <w:r>
                    <w:rPr>
                      <w:rFonts w:hint="eastAsia" w:cs="Times New Roman"/>
                      <w:b/>
                      <w:bCs/>
                      <w:color w:val="auto"/>
                      <w:sz w:val="21"/>
                      <w:szCs w:val="21"/>
                      <w:lang w:eastAsia="zh-CN"/>
                    </w:rPr>
                    <w:t>台</w:t>
                  </w:r>
                  <w:r>
                    <w:rPr>
                      <w:rFonts w:hint="eastAsia" w:cs="Times New Roman"/>
                      <w:b/>
                      <w:bCs/>
                      <w:color w:val="auto"/>
                      <w:sz w:val="21"/>
                      <w:szCs w:val="21"/>
                      <w:lang w:val="en-US" w:eastAsia="zh-CN"/>
                    </w:rPr>
                    <w:t>/套</w:t>
                  </w:r>
                </w:p>
              </w:tc>
              <w:tc>
                <w:tcPr>
                  <w:tcW w:w="1314" w:type="pct"/>
                  <w:tcBorders>
                    <w:tl2br w:val="nil"/>
                    <w:tr2bl w:val="nil"/>
                  </w:tcBorders>
                  <w:vAlign w:val="center"/>
                </w:tcPr>
                <w:p w14:paraId="06F4317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lang w:eastAsia="zh-CN"/>
                    </w:rPr>
                  </w:pPr>
                  <w:r>
                    <w:rPr>
                      <w:rFonts w:hint="eastAsia" w:cs="Times New Roman"/>
                      <w:b/>
                      <w:bCs/>
                      <w:color w:val="auto"/>
                      <w:sz w:val="21"/>
                      <w:szCs w:val="21"/>
                      <w:lang w:eastAsia="zh-CN"/>
                    </w:rPr>
                    <w:t>安装位置</w:t>
                  </w:r>
                </w:p>
              </w:tc>
            </w:tr>
            <w:tr w14:paraId="62512F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1617972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bookmarkStart w:id="21" w:name="OLE_LINK98" w:colFirst="1" w:colLast="3"/>
                  <w:r>
                    <w:rPr>
                      <w:rFonts w:hint="eastAsia" w:cs="Times New Roman"/>
                      <w:b w:val="0"/>
                      <w:bCs w:val="0"/>
                      <w:color w:val="auto"/>
                      <w:sz w:val="21"/>
                      <w:szCs w:val="21"/>
                      <w:highlight w:val="none"/>
                      <w:lang w:val="en-US" w:eastAsia="zh-CN"/>
                    </w:rPr>
                    <w:t>1</w:t>
                  </w:r>
                </w:p>
              </w:tc>
              <w:tc>
                <w:tcPr>
                  <w:tcW w:w="1275" w:type="pct"/>
                  <w:tcBorders>
                    <w:tl2br w:val="nil"/>
                    <w:tr2bl w:val="nil"/>
                  </w:tcBorders>
                  <w:vAlign w:val="center"/>
                </w:tcPr>
                <w:p w14:paraId="3689E8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发酵罐</w:t>
                  </w:r>
                </w:p>
              </w:tc>
              <w:tc>
                <w:tcPr>
                  <w:tcW w:w="837" w:type="pct"/>
                  <w:tcBorders>
                    <w:tl2br w:val="nil"/>
                    <w:tr2bl w:val="nil"/>
                  </w:tcBorders>
                  <w:vAlign w:val="center"/>
                </w:tcPr>
                <w:p w14:paraId="674C79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2tFJG</w:t>
                  </w:r>
                </w:p>
              </w:tc>
              <w:tc>
                <w:tcPr>
                  <w:tcW w:w="575" w:type="pct"/>
                  <w:tcBorders>
                    <w:tl2br w:val="nil"/>
                    <w:tr2bl w:val="nil"/>
                  </w:tcBorders>
                  <w:vAlign w:val="center"/>
                </w:tcPr>
                <w:p w14:paraId="5293C1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9KW</w:t>
                  </w:r>
                </w:p>
              </w:tc>
              <w:tc>
                <w:tcPr>
                  <w:tcW w:w="675" w:type="pct"/>
                  <w:tcBorders>
                    <w:tl2br w:val="nil"/>
                    <w:tr2bl w:val="nil"/>
                  </w:tcBorders>
                  <w:vAlign w:val="center"/>
                </w:tcPr>
                <w:p w14:paraId="4D33A3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4</w:t>
                  </w:r>
                </w:p>
              </w:tc>
              <w:tc>
                <w:tcPr>
                  <w:tcW w:w="1314" w:type="pct"/>
                  <w:tcBorders>
                    <w:tl2br w:val="nil"/>
                    <w:tr2bl w:val="nil"/>
                  </w:tcBorders>
                  <w:vAlign w:val="center"/>
                </w:tcPr>
                <w:p w14:paraId="0AB055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发酵间</w:t>
                  </w:r>
                </w:p>
              </w:tc>
            </w:tr>
            <w:tr w14:paraId="7CD8B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664F538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w:t>
                  </w:r>
                </w:p>
              </w:tc>
              <w:tc>
                <w:tcPr>
                  <w:tcW w:w="1275" w:type="pct"/>
                  <w:tcBorders>
                    <w:tl2br w:val="nil"/>
                    <w:tr2bl w:val="nil"/>
                  </w:tcBorders>
                  <w:vAlign w:val="center"/>
                </w:tcPr>
                <w:p w14:paraId="730277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卫生泵</w:t>
                  </w:r>
                </w:p>
              </w:tc>
              <w:tc>
                <w:tcPr>
                  <w:tcW w:w="837" w:type="pct"/>
                  <w:tcBorders>
                    <w:tl2br w:val="nil"/>
                    <w:tr2bl w:val="nil"/>
                  </w:tcBorders>
                  <w:vAlign w:val="center"/>
                </w:tcPr>
                <w:p w14:paraId="7415D0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BAW</w:t>
                  </w:r>
                </w:p>
              </w:tc>
              <w:tc>
                <w:tcPr>
                  <w:tcW w:w="575" w:type="pct"/>
                  <w:tcBorders>
                    <w:tl2br w:val="nil"/>
                    <w:tr2bl w:val="nil"/>
                  </w:tcBorders>
                  <w:vAlign w:val="center"/>
                </w:tcPr>
                <w:p w14:paraId="6F10A3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0.75KW</w:t>
                  </w:r>
                </w:p>
              </w:tc>
              <w:tc>
                <w:tcPr>
                  <w:tcW w:w="675" w:type="pct"/>
                  <w:tcBorders>
                    <w:tl2br w:val="nil"/>
                    <w:tr2bl w:val="nil"/>
                  </w:tcBorders>
                  <w:vAlign w:val="center"/>
                </w:tcPr>
                <w:p w14:paraId="5324E6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3DF939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发酵间</w:t>
                  </w:r>
                </w:p>
              </w:tc>
            </w:tr>
            <w:tr w14:paraId="50191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13EAE44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w:t>
                  </w:r>
                </w:p>
              </w:tc>
              <w:tc>
                <w:tcPr>
                  <w:tcW w:w="1275" w:type="pct"/>
                  <w:tcBorders>
                    <w:tl2br w:val="nil"/>
                    <w:tr2bl w:val="nil"/>
                  </w:tcBorders>
                  <w:vAlign w:val="center"/>
                </w:tcPr>
                <w:p w14:paraId="7FA1D0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发酵罐</w:t>
                  </w:r>
                </w:p>
              </w:tc>
              <w:tc>
                <w:tcPr>
                  <w:tcW w:w="837" w:type="pct"/>
                  <w:tcBorders>
                    <w:tl2br w:val="nil"/>
                    <w:tr2bl w:val="nil"/>
                  </w:tcBorders>
                  <w:vAlign w:val="center"/>
                </w:tcPr>
                <w:p w14:paraId="5B4C2F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10tFJG</w:t>
                  </w:r>
                </w:p>
              </w:tc>
              <w:tc>
                <w:tcPr>
                  <w:tcW w:w="575" w:type="pct"/>
                  <w:tcBorders>
                    <w:tl2br w:val="nil"/>
                    <w:tr2bl w:val="nil"/>
                  </w:tcBorders>
                  <w:vAlign w:val="center"/>
                </w:tcPr>
                <w:p w14:paraId="3F4582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2E6118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6</w:t>
                  </w:r>
                </w:p>
              </w:tc>
              <w:tc>
                <w:tcPr>
                  <w:tcW w:w="1314" w:type="pct"/>
                  <w:tcBorders>
                    <w:tl2br w:val="nil"/>
                    <w:tr2bl w:val="nil"/>
                  </w:tcBorders>
                  <w:vAlign w:val="center"/>
                </w:tcPr>
                <w:p w14:paraId="59524A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发酵间</w:t>
                  </w:r>
                </w:p>
              </w:tc>
            </w:tr>
            <w:tr w14:paraId="4F8691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5A00FD3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4</w:t>
                  </w:r>
                </w:p>
              </w:tc>
              <w:tc>
                <w:tcPr>
                  <w:tcW w:w="1275" w:type="pct"/>
                  <w:tcBorders>
                    <w:tl2br w:val="nil"/>
                    <w:tr2bl w:val="nil"/>
                  </w:tcBorders>
                  <w:vAlign w:val="center"/>
                </w:tcPr>
                <w:p w14:paraId="1F95D3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饮料泵</w:t>
                  </w:r>
                </w:p>
              </w:tc>
              <w:tc>
                <w:tcPr>
                  <w:tcW w:w="837" w:type="pct"/>
                  <w:tcBorders>
                    <w:tl2br w:val="nil"/>
                    <w:tr2bl w:val="nil"/>
                  </w:tcBorders>
                  <w:vAlign w:val="center"/>
                </w:tcPr>
                <w:p w14:paraId="722F2D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SP-10-36</w:t>
                  </w:r>
                </w:p>
              </w:tc>
              <w:tc>
                <w:tcPr>
                  <w:tcW w:w="575" w:type="pct"/>
                  <w:tcBorders>
                    <w:tl2br w:val="nil"/>
                    <w:tr2bl w:val="nil"/>
                  </w:tcBorders>
                  <w:vAlign w:val="center"/>
                </w:tcPr>
                <w:p w14:paraId="73F6B8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5.5KW</w:t>
                  </w:r>
                </w:p>
              </w:tc>
              <w:tc>
                <w:tcPr>
                  <w:tcW w:w="675" w:type="pct"/>
                  <w:tcBorders>
                    <w:tl2br w:val="nil"/>
                    <w:tr2bl w:val="nil"/>
                  </w:tcBorders>
                  <w:vAlign w:val="center"/>
                </w:tcPr>
                <w:p w14:paraId="570B2F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27D88A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发酵间</w:t>
                  </w:r>
                </w:p>
              </w:tc>
            </w:tr>
            <w:tr w14:paraId="6D5222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21F7E0F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w:t>
                  </w:r>
                </w:p>
              </w:tc>
              <w:tc>
                <w:tcPr>
                  <w:tcW w:w="1275" w:type="pct"/>
                  <w:tcBorders>
                    <w:tl2br w:val="nil"/>
                    <w:tr2bl w:val="nil"/>
                  </w:tcBorders>
                  <w:vAlign w:val="center"/>
                </w:tcPr>
                <w:p w14:paraId="2D4AFD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四联双级达滤机</w:t>
                  </w:r>
                </w:p>
              </w:tc>
              <w:tc>
                <w:tcPr>
                  <w:tcW w:w="837" w:type="pct"/>
                  <w:tcBorders>
                    <w:tl2br w:val="nil"/>
                    <w:tr2bl w:val="nil"/>
                  </w:tcBorders>
                  <w:vAlign w:val="center"/>
                </w:tcPr>
                <w:p w14:paraId="130CA8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JSL-10</w:t>
                  </w:r>
                </w:p>
              </w:tc>
              <w:tc>
                <w:tcPr>
                  <w:tcW w:w="575" w:type="pct"/>
                  <w:tcBorders>
                    <w:tl2br w:val="nil"/>
                    <w:tr2bl w:val="nil"/>
                  </w:tcBorders>
                  <w:vAlign w:val="center"/>
                </w:tcPr>
                <w:p w14:paraId="705886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1100W</w:t>
                  </w:r>
                </w:p>
              </w:tc>
              <w:tc>
                <w:tcPr>
                  <w:tcW w:w="675" w:type="pct"/>
                  <w:tcBorders>
                    <w:tl2br w:val="nil"/>
                    <w:tr2bl w:val="nil"/>
                  </w:tcBorders>
                  <w:vAlign w:val="center"/>
                </w:tcPr>
                <w:p w14:paraId="03D764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316BC8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粗滤间</w:t>
                  </w:r>
                </w:p>
              </w:tc>
            </w:tr>
            <w:tr w14:paraId="3B2094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0507D3C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6</w:t>
                  </w:r>
                </w:p>
              </w:tc>
              <w:tc>
                <w:tcPr>
                  <w:tcW w:w="1275" w:type="pct"/>
                  <w:tcBorders>
                    <w:tl2br w:val="nil"/>
                    <w:tr2bl w:val="nil"/>
                  </w:tcBorders>
                  <w:vAlign w:val="center"/>
                </w:tcPr>
                <w:p w14:paraId="330901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饮料泵</w:t>
                  </w:r>
                </w:p>
              </w:tc>
              <w:tc>
                <w:tcPr>
                  <w:tcW w:w="837" w:type="pct"/>
                  <w:tcBorders>
                    <w:tl2br w:val="nil"/>
                    <w:tr2bl w:val="nil"/>
                  </w:tcBorders>
                  <w:vAlign w:val="center"/>
                </w:tcPr>
                <w:p w14:paraId="0E3ABA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BAW</w:t>
                  </w:r>
                </w:p>
              </w:tc>
              <w:tc>
                <w:tcPr>
                  <w:tcW w:w="575" w:type="pct"/>
                  <w:tcBorders>
                    <w:tl2br w:val="nil"/>
                    <w:tr2bl w:val="nil"/>
                  </w:tcBorders>
                  <w:vAlign w:val="center"/>
                </w:tcPr>
                <w:p w14:paraId="626586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2.2KW</w:t>
                  </w:r>
                </w:p>
              </w:tc>
              <w:tc>
                <w:tcPr>
                  <w:tcW w:w="675" w:type="pct"/>
                  <w:tcBorders>
                    <w:tl2br w:val="nil"/>
                    <w:tr2bl w:val="nil"/>
                  </w:tcBorders>
                  <w:vAlign w:val="center"/>
                </w:tcPr>
                <w:p w14:paraId="5824D6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4</w:t>
                  </w:r>
                </w:p>
              </w:tc>
              <w:tc>
                <w:tcPr>
                  <w:tcW w:w="1314" w:type="pct"/>
                  <w:tcBorders>
                    <w:tl2br w:val="nil"/>
                    <w:tr2bl w:val="nil"/>
                  </w:tcBorders>
                  <w:vAlign w:val="center"/>
                </w:tcPr>
                <w:p w14:paraId="7EFD0D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粗滤间1、陈酿间2、灭菌间1</w:t>
                  </w:r>
                </w:p>
              </w:tc>
            </w:tr>
            <w:tr w14:paraId="3828B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071E42E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7</w:t>
                  </w:r>
                </w:p>
              </w:tc>
              <w:tc>
                <w:tcPr>
                  <w:tcW w:w="1275" w:type="pct"/>
                  <w:tcBorders>
                    <w:tl2br w:val="nil"/>
                    <w:tr2bl w:val="nil"/>
                  </w:tcBorders>
                  <w:vAlign w:val="center"/>
                </w:tcPr>
                <w:p w14:paraId="4FEC86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周转罐</w:t>
                  </w:r>
                </w:p>
              </w:tc>
              <w:tc>
                <w:tcPr>
                  <w:tcW w:w="837" w:type="pct"/>
                  <w:tcBorders>
                    <w:tl2br w:val="nil"/>
                    <w:tr2bl w:val="nil"/>
                  </w:tcBorders>
                  <w:vAlign w:val="center"/>
                </w:tcPr>
                <w:p w14:paraId="280BA5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2t</w:t>
                  </w:r>
                </w:p>
              </w:tc>
              <w:tc>
                <w:tcPr>
                  <w:tcW w:w="575" w:type="pct"/>
                  <w:tcBorders>
                    <w:tl2br w:val="nil"/>
                    <w:tr2bl w:val="nil"/>
                  </w:tcBorders>
                  <w:vAlign w:val="center"/>
                </w:tcPr>
                <w:p w14:paraId="0B20FA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43A5A7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w:t>
                  </w:r>
                </w:p>
              </w:tc>
              <w:tc>
                <w:tcPr>
                  <w:tcW w:w="1314" w:type="pct"/>
                  <w:tcBorders>
                    <w:tl2br w:val="nil"/>
                    <w:tr2bl w:val="nil"/>
                  </w:tcBorders>
                  <w:vAlign w:val="center"/>
                </w:tcPr>
                <w:p w14:paraId="27CB30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粗滤间</w:t>
                  </w:r>
                </w:p>
              </w:tc>
            </w:tr>
            <w:tr w14:paraId="0F51CD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2850E77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8</w:t>
                  </w:r>
                </w:p>
              </w:tc>
              <w:tc>
                <w:tcPr>
                  <w:tcW w:w="1275" w:type="pct"/>
                  <w:tcBorders>
                    <w:tl2br w:val="nil"/>
                    <w:tr2bl w:val="nil"/>
                  </w:tcBorders>
                  <w:vAlign w:val="center"/>
                </w:tcPr>
                <w:p w14:paraId="53C6A3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饮料泵</w:t>
                  </w:r>
                </w:p>
              </w:tc>
              <w:tc>
                <w:tcPr>
                  <w:tcW w:w="837" w:type="pct"/>
                  <w:tcBorders>
                    <w:tl2br w:val="nil"/>
                    <w:tr2bl w:val="nil"/>
                  </w:tcBorders>
                  <w:vAlign w:val="center"/>
                </w:tcPr>
                <w:p w14:paraId="540F78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BAW</w:t>
                  </w:r>
                </w:p>
              </w:tc>
              <w:tc>
                <w:tcPr>
                  <w:tcW w:w="575" w:type="pct"/>
                  <w:tcBorders>
                    <w:tl2br w:val="nil"/>
                    <w:tr2bl w:val="nil"/>
                  </w:tcBorders>
                  <w:vAlign w:val="center"/>
                </w:tcPr>
                <w:p w14:paraId="0CF0F9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1.5KW</w:t>
                  </w:r>
                </w:p>
              </w:tc>
              <w:tc>
                <w:tcPr>
                  <w:tcW w:w="675" w:type="pct"/>
                  <w:tcBorders>
                    <w:tl2br w:val="nil"/>
                    <w:tr2bl w:val="nil"/>
                  </w:tcBorders>
                  <w:vAlign w:val="center"/>
                </w:tcPr>
                <w:p w14:paraId="711A25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4</w:t>
                  </w:r>
                </w:p>
              </w:tc>
              <w:tc>
                <w:tcPr>
                  <w:tcW w:w="1314" w:type="pct"/>
                  <w:tcBorders>
                    <w:tl2br w:val="nil"/>
                    <w:tr2bl w:val="nil"/>
                  </w:tcBorders>
                  <w:vAlign w:val="center"/>
                </w:tcPr>
                <w:p w14:paraId="589976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粗滤间1、暂存间1、精滤间1、调配间1</w:t>
                  </w:r>
                </w:p>
              </w:tc>
            </w:tr>
            <w:tr w14:paraId="451E58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7CF0A12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9</w:t>
                  </w:r>
                </w:p>
              </w:tc>
              <w:tc>
                <w:tcPr>
                  <w:tcW w:w="1275" w:type="pct"/>
                  <w:tcBorders>
                    <w:tl2br w:val="nil"/>
                    <w:tr2bl w:val="nil"/>
                  </w:tcBorders>
                  <w:vAlign w:val="center"/>
                </w:tcPr>
                <w:p w14:paraId="3AD6E9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陈酿罐</w:t>
                  </w:r>
                </w:p>
              </w:tc>
              <w:tc>
                <w:tcPr>
                  <w:tcW w:w="837" w:type="pct"/>
                  <w:tcBorders>
                    <w:tl2br w:val="nil"/>
                    <w:tr2bl w:val="nil"/>
                  </w:tcBorders>
                  <w:vAlign w:val="center"/>
                </w:tcPr>
                <w:p w14:paraId="3DD4CE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10tCNG</w:t>
                  </w:r>
                </w:p>
              </w:tc>
              <w:tc>
                <w:tcPr>
                  <w:tcW w:w="575" w:type="pct"/>
                  <w:tcBorders>
                    <w:tl2br w:val="nil"/>
                    <w:tr2bl w:val="nil"/>
                  </w:tcBorders>
                  <w:vAlign w:val="center"/>
                </w:tcPr>
                <w:p w14:paraId="392408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4A691A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8</w:t>
                  </w:r>
                </w:p>
              </w:tc>
              <w:tc>
                <w:tcPr>
                  <w:tcW w:w="1314" w:type="pct"/>
                  <w:tcBorders>
                    <w:tl2br w:val="nil"/>
                    <w:tr2bl w:val="nil"/>
                  </w:tcBorders>
                  <w:vAlign w:val="center"/>
                </w:tcPr>
                <w:p w14:paraId="14A5CB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陈酿间7、冷冻间1</w:t>
                  </w:r>
                </w:p>
              </w:tc>
            </w:tr>
            <w:tr w14:paraId="499A9D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0C3B246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10</w:t>
                  </w:r>
                </w:p>
              </w:tc>
              <w:tc>
                <w:tcPr>
                  <w:tcW w:w="1275" w:type="pct"/>
                  <w:tcBorders>
                    <w:tl2br w:val="nil"/>
                    <w:tr2bl w:val="nil"/>
                  </w:tcBorders>
                  <w:vAlign w:val="center"/>
                </w:tcPr>
                <w:p w14:paraId="646909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卫生泵</w:t>
                  </w:r>
                </w:p>
              </w:tc>
              <w:tc>
                <w:tcPr>
                  <w:tcW w:w="837" w:type="pct"/>
                  <w:tcBorders>
                    <w:tl2br w:val="nil"/>
                    <w:tr2bl w:val="nil"/>
                  </w:tcBorders>
                  <w:vAlign w:val="center"/>
                </w:tcPr>
                <w:p w14:paraId="098101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BAW-150</w:t>
                  </w:r>
                </w:p>
              </w:tc>
              <w:tc>
                <w:tcPr>
                  <w:tcW w:w="575" w:type="pct"/>
                  <w:tcBorders>
                    <w:tl2br w:val="nil"/>
                    <w:tr2bl w:val="nil"/>
                  </w:tcBorders>
                  <w:vAlign w:val="center"/>
                </w:tcPr>
                <w:p w14:paraId="0FC87C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6641FD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7D6F0D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冷冻间</w:t>
                  </w:r>
                </w:p>
              </w:tc>
            </w:tr>
            <w:tr w14:paraId="5F7D31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0B397C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11</w:t>
                  </w:r>
                </w:p>
              </w:tc>
              <w:tc>
                <w:tcPr>
                  <w:tcW w:w="1275" w:type="pct"/>
                  <w:tcBorders>
                    <w:tl2br w:val="nil"/>
                    <w:tr2bl w:val="nil"/>
                  </w:tcBorders>
                  <w:vAlign w:val="center"/>
                </w:tcPr>
                <w:p w14:paraId="55BB4D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贮存罐</w:t>
                  </w:r>
                </w:p>
              </w:tc>
              <w:tc>
                <w:tcPr>
                  <w:tcW w:w="837" w:type="pct"/>
                  <w:tcBorders>
                    <w:tl2br w:val="nil"/>
                    <w:tr2bl w:val="nil"/>
                  </w:tcBorders>
                  <w:vAlign w:val="center"/>
                </w:tcPr>
                <w:p w14:paraId="1E2A11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2.5tZCG</w:t>
                  </w:r>
                </w:p>
              </w:tc>
              <w:tc>
                <w:tcPr>
                  <w:tcW w:w="575" w:type="pct"/>
                  <w:tcBorders>
                    <w:tl2br w:val="nil"/>
                    <w:tr2bl w:val="nil"/>
                  </w:tcBorders>
                  <w:vAlign w:val="center"/>
                </w:tcPr>
                <w:p w14:paraId="23F4A2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41BB09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10</w:t>
                  </w:r>
                </w:p>
              </w:tc>
              <w:tc>
                <w:tcPr>
                  <w:tcW w:w="1314" w:type="pct"/>
                  <w:tcBorders>
                    <w:tl2br w:val="nil"/>
                    <w:tr2bl w:val="nil"/>
                  </w:tcBorders>
                  <w:vAlign w:val="center"/>
                </w:tcPr>
                <w:p w14:paraId="64352A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冷冻间2、灭菌间2、暂存间2、精滤间2、调配间2</w:t>
                  </w:r>
                </w:p>
              </w:tc>
            </w:tr>
            <w:tr w14:paraId="2B226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390C729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12</w:t>
                  </w:r>
                </w:p>
              </w:tc>
              <w:tc>
                <w:tcPr>
                  <w:tcW w:w="1275" w:type="pct"/>
                  <w:tcBorders>
                    <w:tl2br w:val="nil"/>
                    <w:tr2bl w:val="nil"/>
                  </w:tcBorders>
                  <w:vAlign w:val="center"/>
                </w:tcPr>
                <w:p w14:paraId="1651A4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制冷设备</w:t>
                  </w:r>
                </w:p>
              </w:tc>
              <w:tc>
                <w:tcPr>
                  <w:tcW w:w="837" w:type="pct"/>
                  <w:tcBorders>
                    <w:tl2br w:val="nil"/>
                    <w:tr2bl w:val="nil"/>
                  </w:tcBorders>
                  <w:vAlign w:val="center"/>
                </w:tcPr>
                <w:p w14:paraId="5139AB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ZL-LF-5000</w:t>
                  </w:r>
                </w:p>
              </w:tc>
              <w:tc>
                <w:tcPr>
                  <w:tcW w:w="575" w:type="pct"/>
                  <w:tcBorders>
                    <w:tl2br w:val="nil"/>
                    <w:tr2bl w:val="nil"/>
                  </w:tcBorders>
                  <w:vAlign w:val="center"/>
                </w:tcPr>
                <w:p w14:paraId="691020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6000W</w:t>
                  </w:r>
                </w:p>
              </w:tc>
              <w:tc>
                <w:tcPr>
                  <w:tcW w:w="675" w:type="pct"/>
                  <w:tcBorders>
                    <w:tl2br w:val="nil"/>
                    <w:tr2bl w:val="nil"/>
                  </w:tcBorders>
                  <w:vAlign w:val="center"/>
                </w:tcPr>
                <w:p w14:paraId="01D02E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0F2302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冷冻间</w:t>
                  </w:r>
                </w:p>
              </w:tc>
            </w:tr>
            <w:tr w14:paraId="3662DB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72ACCA9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13</w:t>
                  </w:r>
                </w:p>
              </w:tc>
              <w:tc>
                <w:tcPr>
                  <w:tcW w:w="1275" w:type="pct"/>
                  <w:tcBorders>
                    <w:tl2br w:val="nil"/>
                    <w:tr2bl w:val="nil"/>
                  </w:tcBorders>
                  <w:vAlign w:val="center"/>
                </w:tcPr>
                <w:p w14:paraId="101405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真空脱醇设备</w:t>
                  </w:r>
                </w:p>
              </w:tc>
              <w:tc>
                <w:tcPr>
                  <w:tcW w:w="837" w:type="pct"/>
                  <w:tcBorders>
                    <w:tl2br w:val="nil"/>
                    <w:tr2bl w:val="nil"/>
                  </w:tcBorders>
                  <w:vAlign w:val="center"/>
                </w:tcPr>
                <w:p w14:paraId="7989EE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0.5t</w:t>
                  </w:r>
                </w:p>
              </w:tc>
              <w:tc>
                <w:tcPr>
                  <w:tcW w:w="575" w:type="pct"/>
                  <w:tcBorders>
                    <w:tl2br w:val="nil"/>
                    <w:tr2bl w:val="nil"/>
                  </w:tcBorders>
                  <w:vAlign w:val="center"/>
                </w:tcPr>
                <w:p w14:paraId="256535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1.5KW</w:t>
                  </w:r>
                </w:p>
              </w:tc>
              <w:tc>
                <w:tcPr>
                  <w:tcW w:w="675" w:type="pct"/>
                  <w:tcBorders>
                    <w:tl2br w:val="nil"/>
                    <w:tr2bl w:val="nil"/>
                  </w:tcBorders>
                  <w:vAlign w:val="center"/>
                </w:tcPr>
                <w:p w14:paraId="16D607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5A9A71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脱醇间</w:t>
                  </w:r>
                </w:p>
              </w:tc>
            </w:tr>
            <w:tr w14:paraId="4AB02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6A0E26B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14</w:t>
                  </w:r>
                </w:p>
              </w:tc>
              <w:tc>
                <w:tcPr>
                  <w:tcW w:w="1275" w:type="pct"/>
                  <w:tcBorders>
                    <w:tl2br w:val="nil"/>
                    <w:tr2bl w:val="nil"/>
                  </w:tcBorders>
                  <w:vAlign w:val="center"/>
                </w:tcPr>
                <w:p w14:paraId="672712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FF0000"/>
                      <w:sz w:val="21"/>
                      <w:szCs w:val="21"/>
                      <w:highlight w:val="none"/>
                      <w:lang w:val="en-US" w:eastAsia="zh-CN"/>
                    </w:rPr>
                  </w:pPr>
                  <w:r>
                    <w:rPr>
                      <w:rFonts w:hint="eastAsia" w:cs="Times New Roman"/>
                      <w:b w:val="0"/>
                      <w:bCs w:val="0"/>
                      <w:color w:val="FF0000"/>
                      <w:sz w:val="21"/>
                      <w:szCs w:val="21"/>
                      <w:highlight w:val="none"/>
                      <w:lang w:val="en-US" w:eastAsia="zh-CN"/>
                    </w:rPr>
                    <w:t>周转罐</w:t>
                  </w:r>
                </w:p>
              </w:tc>
              <w:tc>
                <w:tcPr>
                  <w:tcW w:w="837" w:type="pct"/>
                  <w:tcBorders>
                    <w:tl2br w:val="nil"/>
                    <w:tr2bl w:val="nil"/>
                  </w:tcBorders>
                  <w:vAlign w:val="center"/>
                </w:tcPr>
                <w:p w14:paraId="0F0339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FF0000"/>
                      <w:sz w:val="21"/>
                      <w:szCs w:val="21"/>
                      <w:highlight w:val="none"/>
                      <w:lang w:val="en-US" w:eastAsia="zh-CN"/>
                    </w:rPr>
                  </w:pPr>
                  <w:r>
                    <w:rPr>
                      <w:rFonts w:hint="eastAsia" w:cs="Times New Roman"/>
                      <w:b w:val="0"/>
                      <w:bCs w:val="0"/>
                      <w:color w:val="FF0000"/>
                      <w:sz w:val="21"/>
                      <w:szCs w:val="21"/>
                      <w:highlight w:val="none"/>
                      <w:lang w:val="en-US" w:eastAsia="zh-CN"/>
                    </w:rPr>
                    <w:t>2.5t</w:t>
                  </w:r>
                </w:p>
              </w:tc>
              <w:tc>
                <w:tcPr>
                  <w:tcW w:w="575" w:type="pct"/>
                  <w:tcBorders>
                    <w:tl2br w:val="nil"/>
                    <w:tr2bl w:val="nil"/>
                  </w:tcBorders>
                  <w:vAlign w:val="center"/>
                </w:tcPr>
                <w:p w14:paraId="33A117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FF0000"/>
                      <w:sz w:val="21"/>
                      <w:szCs w:val="21"/>
                      <w:highlight w:val="none"/>
                      <w:lang w:val="en-US" w:eastAsia="zh-CN"/>
                    </w:rPr>
                  </w:pPr>
                  <w:r>
                    <w:rPr>
                      <w:rFonts w:hint="eastAsia" w:cs="Times New Roman"/>
                      <w:b w:val="0"/>
                      <w:bCs w:val="0"/>
                      <w:color w:val="FF0000"/>
                      <w:sz w:val="21"/>
                      <w:szCs w:val="21"/>
                      <w:highlight w:val="none"/>
                      <w:lang w:val="en-US" w:eastAsia="zh-CN"/>
                    </w:rPr>
                    <w:t>/</w:t>
                  </w:r>
                </w:p>
              </w:tc>
              <w:tc>
                <w:tcPr>
                  <w:tcW w:w="675" w:type="pct"/>
                  <w:tcBorders>
                    <w:tl2br w:val="nil"/>
                    <w:tr2bl w:val="nil"/>
                  </w:tcBorders>
                  <w:vAlign w:val="center"/>
                </w:tcPr>
                <w:p w14:paraId="584F84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FF0000"/>
                      <w:sz w:val="21"/>
                      <w:szCs w:val="21"/>
                      <w:highlight w:val="none"/>
                      <w:lang w:val="en-US" w:eastAsia="zh-CN"/>
                    </w:rPr>
                  </w:pPr>
                  <w:r>
                    <w:rPr>
                      <w:rFonts w:hint="eastAsia" w:cs="Times New Roman"/>
                      <w:b w:val="0"/>
                      <w:bCs w:val="0"/>
                      <w:color w:val="FF0000"/>
                      <w:sz w:val="21"/>
                      <w:szCs w:val="21"/>
                      <w:highlight w:val="none"/>
                      <w:lang w:val="en-US" w:eastAsia="zh-CN"/>
                    </w:rPr>
                    <w:t>2</w:t>
                  </w:r>
                </w:p>
              </w:tc>
              <w:tc>
                <w:tcPr>
                  <w:tcW w:w="1314" w:type="pct"/>
                  <w:tcBorders>
                    <w:tl2br w:val="nil"/>
                    <w:tr2bl w:val="nil"/>
                  </w:tcBorders>
                  <w:vAlign w:val="center"/>
                </w:tcPr>
                <w:p w14:paraId="2E1DC2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FF0000"/>
                      <w:sz w:val="21"/>
                      <w:szCs w:val="21"/>
                      <w:highlight w:val="none"/>
                      <w:lang w:val="en-US" w:eastAsia="zh-CN"/>
                    </w:rPr>
                  </w:pPr>
                  <w:r>
                    <w:rPr>
                      <w:rFonts w:hint="eastAsia" w:cs="Times New Roman"/>
                      <w:b w:val="0"/>
                      <w:bCs w:val="0"/>
                      <w:color w:val="FF0000"/>
                      <w:sz w:val="21"/>
                      <w:szCs w:val="21"/>
                      <w:highlight w:val="none"/>
                      <w:lang w:val="en-US" w:eastAsia="zh-CN"/>
                    </w:rPr>
                    <w:t>备用间</w:t>
                  </w:r>
                </w:p>
              </w:tc>
            </w:tr>
            <w:tr w14:paraId="74C94D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1541465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15</w:t>
                  </w:r>
                </w:p>
              </w:tc>
              <w:tc>
                <w:tcPr>
                  <w:tcW w:w="1275" w:type="pct"/>
                  <w:tcBorders>
                    <w:tl2br w:val="nil"/>
                    <w:tr2bl w:val="nil"/>
                  </w:tcBorders>
                  <w:vAlign w:val="center"/>
                </w:tcPr>
                <w:p w14:paraId="0C8FAE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四联精密过滤机</w:t>
                  </w:r>
                </w:p>
              </w:tc>
              <w:tc>
                <w:tcPr>
                  <w:tcW w:w="837" w:type="pct"/>
                  <w:tcBorders>
                    <w:tl2br w:val="nil"/>
                    <w:tr2bl w:val="nil"/>
                  </w:tcBorders>
                  <w:vAlign w:val="center"/>
                </w:tcPr>
                <w:p w14:paraId="2ADC54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JCL-4-2</w:t>
                  </w:r>
                </w:p>
              </w:tc>
              <w:tc>
                <w:tcPr>
                  <w:tcW w:w="575" w:type="pct"/>
                  <w:tcBorders>
                    <w:tl2br w:val="nil"/>
                    <w:tr2bl w:val="nil"/>
                  </w:tcBorders>
                  <w:vAlign w:val="center"/>
                </w:tcPr>
                <w:p w14:paraId="073CD5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1100W</w:t>
                  </w:r>
                </w:p>
              </w:tc>
              <w:tc>
                <w:tcPr>
                  <w:tcW w:w="675" w:type="pct"/>
                  <w:tcBorders>
                    <w:tl2br w:val="nil"/>
                    <w:tr2bl w:val="nil"/>
                  </w:tcBorders>
                  <w:vAlign w:val="center"/>
                </w:tcPr>
                <w:p w14:paraId="2F958B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492E02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精滤间</w:t>
                  </w:r>
                </w:p>
              </w:tc>
            </w:tr>
            <w:tr w14:paraId="52589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57421D4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16</w:t>
                  </w:r>
                </w:p>
              </w:tc>
              <w:tc>
                <w:tcPr>
                  <w:tcW w:w="1275" w:type="pct"/>
                  <w:tcBorders>
                    <w:tl2br w:val="nil"/>
                    <w:tr2bl w:val="nil"/>
                  </w:tcBorders>
                  <w:vAlign w:val="center"/>
                </w:tcPr>
                <w:p w14:paraId="60F944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搅拌缸</w:t>
                  </w:r>
                </w:p>
              </w:tc>
              <w:tc>
                <w:tcPr>
                  <w:tcW w:w="837" w:type="pct"/>
                  <w:tcBorders>
                    <w:tl2br w:val="nil"/>
                    <w:tr2bl w:val="nil"/>
                  </w:tcBorders>
                  <w:vAlign w:val="center"/>
                </w:tcPr>
                <w:p w14:paraId="7B1113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JBG-300</w:t>
                  </w:r>
                </w:p>
              </w:tc>
              <w:tc>
                <w:tcPr>
                  <w:tcW w:w="575" w:type="pct"/>
                  <w:tcBorders>
                    <w:tl2br w:val="nil"/>
                    <w:tr2bl w:val="nil"/>
                  </w:tcBorders>
                  <w:vAlign w:val="center"/>
                </w:tcPr>
                <w:p w14:paraId="7F23E1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0.55KW</w:t>
                  </w:r>
                </w:p>
              </w:tc>
              <w:tc>
                <w:tcPr>
                  <w:tcW w:w="675" w:type="pct"/>
                  <w:tcBorders>
                    <w:tl2br w:val="nil"/>
                    <w:tr2bl w:val="nil"/>
                  </w:tcBorders>
                  <w:vAlign w:val="center"/>
                </w:tcPr>
                <w:p w14:paraId="68550E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0E3AB7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调配间</w:t>
                  </w:r>
                </w:p>
              </w:tc>
            </w:tr>
            <w:tr w14:paraId="6803F9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2B0E39E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17</w:t>
                  </w:r>
                </w:p>
              </w:tc>
              <w:tc>
                <w:tcPr>
                  <w:tcW w:w="1275" w:type="pct"/>
                  <w:tcBorders>
                    <w:tl2br w:val="nil"/>
                    <w:tr2bl w:val="nil"/>
                  </w:tcBorders>
                  <w:vAlign w:val="center"/>
                </w:tcPr>
                <w:p w14:paraId="586C4B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智能电加热蒸汽发生器</w:t>
                  </w:r>
                </w:p>
              </w:tc>
              <w:tc>
                <w:tcPr>
                  <w:tcW w:w="837" w:type="pct"/>
                  <w:tcBorders>
                    <w:tl2br w:val="nil"/>
                    <w:tr2bl w:val="nil"/>
                  </w:tcBorders>
                  <w:vAlign w:val="center"/>
                </w:tcPr>
                <w:p w14:paraId="7A9843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DN-10C</w:t>
                  </w:r>
                </w:p>
              </w:tc>
              <w:tc>
                <w:tcPr>
                  <w:tcW w:w="575" w:type="pct"/>
                  <w:tcBorders>
                    <w:tl2br w:val="nil"/>
                    <w:tr2bl w:val="nil"/>
                  </w:tcBorders>
                  <w:vAlign w:val="center"/>
                </w:tcPr>
                <w:p w14:paraId="63B9CA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72KW</w:t>
                  </w:r>
                </w:p>
              </w:tc>
              <w:tc>
                <w:tcPr>
                  <w:tcW w:w="675" w:type="pct"/>
                  <w:tcBorders>
                    <w:tl2br w:val="nil"/>
                    <w:tr2bl w:val="nil"/>
                  </w:tcBorders>
                  <w:vAlign w:val="center"/>
                </w:tcPr>
                <w:p w14:paraId="61202D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42D0AC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二楼灭菌间</w:t>
                  </w:r>
                </w:p>
              </w:tc>
            </w:tr>
            <w:tr w14:paraId="0AB5A9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36C358B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18</w:t>
                  </w:r>
                </w:p>
              </w:tc>
              <w:tc>
                <w:tcPr>
                  <w:tcW w:w="1275" w:type="pct"/>
                  <w:tcBorders>
                    <w:tl2br w:val="nil"/>
                    <w:tr2bl w:val="nil"/>
                  </w:tcBorders>
                  <w:vAlign w:val="center"/>
                </w:tcPr>
                <w:p w14:paraId="4164E4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超高温瞬时灭菌机</w:t>
                  </w:r>
                </w:p>
              </w:tc>
              <w:tc>
                <w:tcPr>
                  <w:tcW w:w="837" w:type="pct"/>
                  <w:tcBorders>
                    <w:tl2br w:val="nil"/>
                    <w:tr2bl w:val="nil"/>
                  </w:tcBorders>
                  <w:vAlign w:val="center"/>
                </w:tcPr>
                <w:p w14:paraId="5654A5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RP6L10</w:t>
                  </w:r>
                </w:p>
              </w:tc>
              <w:tc>
                <w:tcPr>
                  <w:tcW w:w="575" w:type="pct"/>
                  <w:tcBorders>
                    <w:tl2br w:val="nil"/>
                    <w:tr2bl w:val="nil"/>
                  </w:tcBorders>
                  <w:vAlign w:val="center"/>
                </w:tcPr>
                <w:p w14:paraId="066E87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3KW</w:t>
                  </w:r>
                </w:p>
              </w:tc>
              <w:tc>
                <w:tcPr>
                  <w:tcW w:w="675" w:type="pct"/>
                  <w:tcBorders>
                    <w:tl2br w:val="nil"/>
                    <w:tr2bl w:val="nil"/>
                  </w:tcBorders>
                  <w:vAlign w:val="center"/>
                </w:tcPr>
                <w:p w14:paraId="4A99B7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2</w:t>
                  </w:r>
                </w:p>
              </w:tc>
              <w:tc>
                <w:tcPr>
                  <w:tcW w:w="1314" w:type="pct"/>
                  <w:tcBorders>
                    <w:tl2br w:val="nil"/>
                    <w:tr2bl w:val="nil"/>
                  </w:tcBorders>
                  <w:vAlign w:val="center"/>
                </w:tcPr>
                <w:p w14:paraId="303D40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二楼灭菌间</w:t>
                  </w:r>
                </w:p>
              </w:tc>
            </w:tr>
            <w:tr w14:paraId="4DE2E9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4DB0268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19</w:t>
                  </w:r>
                </w:p>
              </w:tc>
              <w:tc>
                <w:tcPr>
                  <w:tcW w:w="1275" w:type="pct"/>
                  <w:tcBorders>
                    <w:tl2br w:val="nil"/>
                    <w:tr2bl w:val="nil"/>
                  </w:tcBorders>
                  <w:vAlign w:val="center"/>
                </w:tcPr>
                <w:p w14:paraId="4F4A7A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kern w:val="2"/>
                      <w:sz w:val="21"/>
                      <w:szCs w:val="21"/>
                      <w:highlight w:val="none"/>
                      <w:lang w:val="en-US" w:eastAsia="zh-CN" w:bidi="ar-SA"/>
                    </w:rPr>
                  </w:pPr>
                  <w:r>
                    <w:rPr>
                      <w:rFonts w:hint="eastAsia" w:cs="Times New Roman"/>
                      <w:b w:val="0"/>
                      <w:bCs w:val="0"/>
                      <w:color w:val="FF0000"/>
                      <w:sz w:val="21"/>
                      <w:szCs w:val="21"/>
                      <w:highlight w:val="none"/>
                      <w:lang w:val="en-US" w:eastAsia="zh-CN"/>
                    </w:rPr>
                    <w:t>周转罐</w:t>
                  </w:r>
                </w:p>
              </w:tc>
              <w:tc>
                <w:tcPr>
                  <w:tcW w:w="837" w:type="pct"/>
                  <w:tcBorders>
                    <w:tl2br w:val="nil"/>
                    <w:tr2bl w:val="nil"/>
                  </w:tcBorders>
                  <w:vAlign w:val="center"/>
                </w:tcPr>
                <w:p w14:paraId="1BED03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kern w:val="2"/>
                      <w:sz w:val="21"/>
                      <w:szCs w:val="21"/>
                      <w:highlight w:val="none"/>
                      <w:lang w:val="en-US" w:eastAsia="zh-CN" w:bidi="ar-SA"/>
                    </w:rPr>
                  </w:pPr>
                  <w:r>
                    <w:rPr>
                      <w:rFonts w:hint="eastAsia" w:cs="Times New Roman"/>
                      <w:b w:val="0"/>
                      <w:bCs w:val="0"/>
                      <w:color w:val="FF0000"/>
                      <w:sz w:val="21"/>
                      <w:szCs w:val="21"/>
                      <w:highlight w:val="none"/>
                      <w:lang w:val="en-US" w:eastAsia="zh-CN"/>
                    </w:rPr>
                    <w:t>2t</w:t>
                  </w:r>
                </w:p>
              </w:tc>
              <w:tc>
                <w:tcPr>
                  <w:tcW w:w="575" w:type="pct"/>
                  <w:tcBorders>
                    <w:tl2br w:val="nil"/>
                    <w:tr2bl w:val="nil"/>
                  </w:tcBorders>
                  <w:vAlign w:val="center"/>
                </w:tcPr>
                <w:p w14:paraId="4D8290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kern w:val="2"/>
                      <w:sz w:val="21"/>
                      <w:szCs w:val="21"/>
                      <w:highlight w:val="none"/>
                      <w:lang w:val="en-US" w:eastAsia="zh-CN" w:bidi="ar-SA"/>
                    </w:rPr>
                  </w:pPr>
                  <w:r>
                    <w:rPr>
                      <w:rFonts w:hint="eastAsia" w:cs="Times New Roman"/>
                      <w:b w:val="0"/>
                      <w:bCs w:val="0"/>
                      <w:color w:val="FF0000"/>
                      <w:sz w:val="21"/>
                      <w:szCs w:val="21"/>
                      <w:highlight w:val="none"/>
                      <w:lang w:val="en-US" w:eastAsia="zh-CN"/>
                    </w:rPr>
                    <w:t>/</w:t>
                  </w:r>
                </w:p>
              </w:tc>
              <w:tc>
                <w:tcPr>
                  <w:tcW w:w="675" w:type="pct"/>
                  <w:tcBorders>
                    <w:tl2br w:val="nil"/>
                    <w:tr2bl w:val="nil"/>
                  </w:tcBorders>
                  <w:vAlign w:val="center"/>
                </w:tcPr>
                <w:p w14:paraId="373D89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kern w:val="2"/>
                      <w:sz w:val="21"/>
                      <w:szCs w:val="21"/>
                      <w:highlight w:val="none"/>
                      <w:lang w:val="en-US" w:eastAsia="zh-CN" w:bidi="ar-SA"/>
                    </w:rPr>
                  </w:pPr>
                  <w:r>
                    <w:rPr>
                      <w:rFonts w:hint="eastAsia" w:cs="Times New Roman"/>
                      <w:b w:val="0"/>
                      <w:bCs w:val="0"/>
                      <w:color w:val="FF0000"/>
                      <w:sz w:val="21"/>
                      <w:szCs w:val="21"/>
                      <w:highlight w:val="none"/>
                      <w:lang w:val="en-US" w:eastAsia="zh-CN"/>
                    </w:rPr>
                    <w:t>2</w:t>
                  </w:r>
                </w:p>
              </w:tc>
              <w:tc>
                <w:tcPr>
                  <w:tcW w:w="1314" w:type="pct"/>
                  <w:tcBorders>
                    <w:tl2br w:val="nil"/>
                    <w:tr2bl w:val="nil"/>
                  </w:tcBorders>
                  <w:vAlign w:val="center"/>
                </w:tcPr>
                <w:p w14:paraId="1A86C0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FF0000"/>
                      <w:kern w:val="2"/>
                      <w:sz w:val="21"/>
                      <w:szCs w:val="21"/>
                      <w:highlight w:val="none"/>
                      <w:lang w:val="en-US" w:eastAsia="zh-CN" w:bidi="ar-SA"/>
                    </w:rPr>
                  </w:pPr>
                  <w:r>
                    <w:rPr>
                      <w:rFonts w:hint="eastAsia" w:cs="Times New Roman"/>
                      <w:b w:val="0"/>
                      <w:bCs w:val="0"/>
                      <w:color w:val="FF0000"/>
                      <w:sz w:val="21"/>
                      <w:szCs w:val="21"/>
                      <w:highlight w:val="none"/>
                      <w:lang w:val="en-US" w:eastAsia="zh-CN"/>
                    </w:rPr>
                    <w:t>二楼灭菌间</w:t>
                  </w:r>
                </w:p>
              </w:tc>
            </w:tr>
            <w:tr w14:paraId="6A74E9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1" w:type="pct"/>
                  <w:tcBorders>
                    <w:tl2br w:val="nil"/>
                    <w:tr2bl w:val="nil"/>
                  </w:tcBorders>
                  <w:vAlign w:val="center"/>
                </w:tcPr>
                <w:p w14:paraId="2387091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20</w:t>
                  </w:r>
                </w:p>
              </w:tc>
              <w:tc>
                <w:tcPr>
                  <w:tcW w:w="1275" w:type="pct"/>
                  <w:tcBorders>
                    <w:tl2br w:val="nil"/>
                    <w:tr2bl w:val="nil"/>
                  </w:tcBorders>
                  <w:vAlign w:val="center"/>
                </w:tcPr>
                <w:p w14:paraId="03EBDC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间歇式冲控机</w:t>
                  </w:r>
                </w:p>
              </w:tc>
              <w:tc>
                <w:tcPr>
                  <w:tcW w:w="837" w:type="pct"/>
                  <w:tcBorders>
                    <w:tl2br w:val="nil"/>
                    <w:tr2bl w:val="nil"/>
                  </w:tcBorders>
                  <w:vAlign w:val="center"/>
                </w:tcPr>
                <w:p w14:paraId="4725F1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QSP</w:t>
                  </w:r>
                </w:p>
              </w:tc>
              <w:tc>
                <w:tcPr>
                  <w:tcW w:w="575" w:type="pct"/>
                  <w:tcBorders>
                    <w:tl2br w:val="nil"/>
                    <w:tr2bl w:val="nil"/>
                  </w:tcBorders>
                  <w:vAlign w:val="center"/>
                </w:tcPr>
                <w:p w14:paraId="7E008D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1.29KW</w:t>
                  </w:r>
                </w:p>
              </w:tc>
              <w:tc>
                <w:tcPr>
                  <w:tcW w:w="675" w:type="pct"/>
                  <w:tcBorders>
                    <w:tl2br w:val="nil"/>
                    <w:tr2bl w:val="nil"/>
                  </w:tcBorders>
                  <w:vAlign w:val="center"/>
                </w:tcPr>
                <w:p w14:paraId="5652CD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1A657F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二楼灌装间（洗瓶机）</w:t>
                  </w:r>
                </w:p>
              </w:tc>
            </w:tr>
            <w:tr w14:paraId="5A6B30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06FDD4B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21</w:t>
                  </w:r>
                </w:p>
              </w:tc>
              <w:tc>
                <w:tcPr>
                  <w:tcW w:w="1275" w:type="pct"/>
                  <w:tcBorders>
                    <w:tl2br w:val="nil"/>
                    <w:tr2bl w:val="nil"/>
                  </w:tcBorders>
                  <w:vAlign w:val="center"/>
                </w:tcPr>
                <w:p w14:paraId="0FFC31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灌装机</w:t>
                  </w:r>
                </w:p>
              </w:tc>
              <w:tc>
                <w:tcPr>
                  <w:tcW w:w="837" w:type="pct"/>
                  <w:tcBorders>
                    <w:tl2br w:val="nil"/>
                    <w:tr2bl w:val="nil"/>
                  </w:tcBorders>
                  <w:vAlign w:val="center"/>
                </w:tcPr>
                <w:p w14:paraId="4BE1F9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w:t>
                  </w:r>
                </w:p>
              </w:tc>
              <w:tc>
                <w:tcPr>
                  <w:tcW w:w="575" w:type="pct"/>
                  <w:tcBorders>
                    <w:tl2br w:val="nil"/>
                    <w:tr2bl w:val="nil"/>
                  </w:tcBorders>
                  <w:vAlign w:val="center"/>
                </w:tcPr>
                <w:p w14:paraId="59FB67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28405C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3C326F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二楼灌装间</w:t>
                  </w:r>
                </w:p>
              </w:tc>
            </w:tr>
            <w:tr w14:paraId="7C3E64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55BEED6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22</w:t>
                  </w:r>
                </w:p>
              </w:tc>
              <w:tc>
                <w:tcPr>
                  <w:tcW w:w="1275" w:type="pct"/>
                  <w:tcBorders>
                    <w:tl2br w:val="nil"/>
                    <w:tr2bl w:val="nil"/>
                  </w:tcBorders>
                  <w:vAlign w:val="center"/>
                </w:tcPr>
                <w:p w14:paraId="17BC61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自动打塞机</w:t>
                  </w:r>
                </w:p>
              </w:tc>
              <w:tc>
                <w:tcPr>
                  <w:tcW w:w="837" w:type="pct"/>
                  <w:tcBorders>
                    <w:tl2br w:val="nil"/>
                    <w:tr2bl w:val="nil"/>
                  </w:tcBorders>
                  <w:vAlign w:val="center"/>
                </w:tcPr>
                <w:p w14:paraId="172D5A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w:t>
                  </w:r>
                </w:p>
              </w:tc>
              <w:tc>
                <w:tcPr>
                  <w:tcW w:w="575" w:type="pct"/>
                  <w:tcBorders>
                    <w:tl2br w:val="nil"/>
                    <w:tr2bl w:val="nil"/>
                  </w:tcBorders>
                  <w:vAlign w:val="center"/>
                </w:tcPr>
                <w:p w14:paraId="132B0D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6407E4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560E33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二楼灌装间</w:t>
                  </w:r>
                </w:p>
              </w:tc>
            </w:tr>
            <w:tr w14:paraId="1E2224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5F33592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23</w:t>
                  </w:r>
                </w:p>
              </w:tc>
              <w:tc>
                <w:tcPr>
                  <w:tcW w:w="1275" w:type="pct"/>
                  <w:tcBorders>
                    <w:tl2br w:val="nil"/>
                    <w:tr2bl w:val="nil"/>
                  </w:tcBorders>
                  <w:vAlign w:val="center"/>
                </w:tcPr>
                <w:p w14:paraId="5B0F1C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电热自动烘干机</w:t>
                  </w:r>
                </w:p>
              </w:tc>
              <w:tc>
                <w:tcPr>
                  <w:tcW w:w="837" w:type="pct"/>
                  <w:tcBorders>
                    <w:tl2br w:val="nil"/>
                    <w:tr2bl w:val="nil"/>
                  </w:tcBorders>
                  <w:vAlign w:val="center"/>
                </w:tcPr>
                <w:p w14:paraId="592072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w:t>
                  </w:r>
                </w:p>
              </w:tc>
              <w:tc>
                <w:tcPr>
                  <w:tcW w:w="575" w:type="pct"/>
                  <w:tcBorders>
                    <w:tl2br w:val="nil"/>
                    <w:tr2bl w:val="nil"/>
                  </w:tcBorders>
                  <w:vAlign w:val="center"/>
                </w:tcPr>
                <w:p w14:paraId="66E103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7575F5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3285C9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二楼灌装间</w:t>
                  </w:r>
                </w:p>
              </w:tc>
            </w:tr>
            <w:tr w14:paraId="6E45A2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2047C43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24</w:t>
                  </w:r>
                </w:p>
              </w:tc>
              <w:tc>
                <w:tcPr>
                  <w:tcW w:w="1275" w:type="pct"/>
                  <w:tcBorders>
                    <w:tl2br w:val="nil"/>
                    <w:tr2bl w:val="nil"/>
                  </w:tcBorders>
                  <w:vAlign w:val="center"/>
                </w:tcPr>
                <w:p w14:paraId="58CD3A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胶帽热缩机</w:t>
                  </w:r>
                </w:p>
              </w:tc>
              <w:tc>
                <w:tcPr>
                  <w:tcW w:w="837" w:type="pct"/>
                  <w:tcBorders>
                    <w:tl2br w:val="nil"/>
                    <w:tr2bl w:val="nil"/>
                  </w:tcBorders>
                  <w:vAlign w:val="center"/>
                </w:tcPr>
                <w:p w14:paraId="0B7F11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w:t>
                  </w:r>
                </w:p>
              </w:tc>
              <w:tc>
                <w:tcPr>
                  <w:tcW w:w="575" w:type="pct"/>
                  <w:tcBorders>
                    <w:tl2br w:val="nil"/>
                    <w:tr2bl w:val="nil"/>
                  </w:tcBorders>
                  <w:vAlign w:val="center"/>
                </w:tcPr>
                <w:p w14:paraId="757FC5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3468A9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681AA1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二楼灌装间</w:t>
                  </w:r>
                </w:p>
              </w:tc>
            </w:tr>
            <w:tr w14:paraId="290CAE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2DD1F57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25</w:t>
                  </w:r>
                </w:p>
              </w:tc>
              <w:tc>
                <w:tcPr>
                  <w:tcW w:w="1275" w:type="pct"/>
                  <w:tcBorders>
                    <w:tl2br w:val="nil"/>
                    <w:tr2bl w:val="nil"/>
                  </w:tcBorders>
                  <w:vAlign w:val="center"/>
                </w:tcPr>
                <w:p w14:paraId="7D8401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贴标机</w:t>
                  </w:r>
                </w:p>
              </w:tc>
              <w:tc>
                <w:tcPr>
                  <w:tcW w:w="837" w:type="pct"/>
                  <w:tcBorders>
                    <w:tl2br w:val="nil"/>
                    <w:tr2bl w:val="nil"/>
                  </w:tcBorders>
                  <w:vAlign w:val="center"/>
                </w:tcPr>
                <w:p w14:paraId="499E10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w:t>
                  </w:r>
                </w:p>
              </w:tc>
              <w:tc>
                <w:tcPr>
                  <w:tcW w:w="575" w:type="pct"/>
                  <w:tcBorders>
                    <w:tl2br w:val="nil"/>
                    <w:tr2bl w:val="nil"/>
                  </w:tcBorders>
                  <w:vAlign w:val="center"/>
                </w:tcPr>
                <w:p w14:paraId="13582B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16F903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1505F6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二楼</w:t>
                  </w:r>
                </w:p>
              </w:tc>
            </w:tr>
            <w:tr w14:paraId="6BDD4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067614A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26</w:t>
                  </w:r>
                </w:p>
              </w:tc>
              <w:tc>
                <w:tcPr>
                  <w:tcW w:w="1275" w:type="pct"/>
                  <w:tcBorders>
                    <w:tl2br w:val="nil"/>
                    <w:tr2bl w:val="nil"/>
                  </w:tcBorders>
                  <w:vAlign w:val="center"/>
                </w:tcPr>
                <w:p w14:paraId="25294F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水处理设备</w:t>
                  </w:r>
                </w:p>
              </w:tc>
              <w:tc>
                <w:tcPr>
                  <w:tcW w:w="837" w:type="pct"/>
                  <w:tcBorders>
                    <w:tl2br w:val="nil"/>
                    <w:tr2bl w:val="nil"/>
                  </w:tcBorders>
                  <w:vAlign w:val="center"/>
                </w:tcPr>
                <w:p w14:paraId="7E035A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CY-1000</w:t>
                  </w:r>
                </w:p>
              </w:tc>
              <w:tc>
                <w:tcPr>
                  <w:tcW w:w="575" w:type="pct"/>
                  <w:tcBorders>
                    <w:tl2br w:val="nil"/>
                    <w:tr2bl w:val="nil"/>
                  </w:tcBorders>
                  <w:vAlign w:val="center"/>
                </w:tcPr>
                <w:p w14:paraId="1D8239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vMerge w:val="restart"/>
                  <w:tcBorders>
                    <w:tl2br w:val="nil"/>
                    <w:tr2bl w:val="nil"/>
                  </w:tcBorders>
                  <w:vAlign w:val="center"/>
                </w:tcPr>
                <w:p w14:paraId="72B379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1314" w:type="pct"/>
                  <w:vMerge w:val="restart"/>
                  <w:tcBorders>
                    <w:tl2br w:val="nil"/>
                    <w:tr2bl w:val="nil"/>
                  </w:tcBorders>
                  <w:vAlign w:val="center"/>
                </w:tcPr>
                <w:p w14:paraId="175D08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水处理间</w:t>
                  </w:r>
                </w:p>
              </w:tc>
            </w:tr>
            <w:tr w14:paraId="7CD4CD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1A51E3A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27</w:t>
                  </w:r>
                </w:p>
              </w:tc>
              <w:tc>
                <w:tcPr>
                  <w:tcW w:w="1275" w:type="pct"/>
                  <w:tcBorders>
                    <w:tl2br w:val="nil"/>
                    <w:tr2bl w:val="nil"/>
                  </w:tcBorders>
                  <w:vAlign w:val="center"/>
                </w:tcPr>
                <w:p w14:paraId="18CDB0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一级高压泵</w:t>
                  </w:r>
                </w:p>
              </w:tc>
              <w:tc>
                <w:tcPr>
                  <w:tcW w:w="837" w:type="pct"/>
                  <w:tcBorders>
                    <w:tl2br w:val="nil"/>
                    <w:tr2bl w:val="nil"/>
                  </w:tcBorders>
                  <w:vAlign w:val="center"/>
                </w:tcPr>
                <w:p w14:paraId="1F6BFD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 xml:space="preserve">SDL4-120L SWSC </w:t>
                  </w:r>
                </w:p>
              </w:tc>
              <w:tc>
                <w:tcPr>
                  <w:tcW w:w="575" w:type="pct"/>
                  <w:tcBorders>
                    <w:tl2br w:val="nil"/>
                    <w:tr2bl w:val="nil"/>
                  </w:tcBorders>
                  <w:vAlign w:val="center"/>
                </w:tcPr>
                <w:p w14:paraId="539B6E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vMerge w:val="continue"/>
                  <w:tcBorders>
                    <w:tl2br w:val="nil"/>
                    <w:tr2bl w:val="nil"/>
                  </w:tcBorders>
                  <w:vAlign w:val="center"/>
                </w:tcPr>
                <w:p w14:paraId="2BA671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p>
              </w:tc>
              <w:tc>
                <w:tcPr>
                  <w:tcW w:w="1314" w:type="pct"/>
                  <w:vMerge w:val="continue"/>
                  <w:tcBorders>
                    <w:tl2br w:val="nil"/>
                    <w:tr2bl w:val="nil"/>
                  </w:tcBorders>
                  <w:vAlign w:val="center"/>
                </w:tcPr>
                <w:p w14:paraId="0421D1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p>
              </w:tc>
            </w:tr>
            <w:tr w14:paraId="387D33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593E549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28</w:t>
                  </w:r>
                </w:p>
              </w:tc>
              <w:tc>
                <w:tcPr>
                  <w:tcW w:w="1275" w:type="pct"/>
                  <w:tcBorders>
                    <w:tl2br w:val="nil"/>
                    <w:tr2bl w:val="nil"/>
                  </w:tcBorders>
                  <w:vAlign w:val="center"/>
                </w:tcPr>
                <w:p w14:paraId="6E368F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二级高压泵</w:t>
                  </w:r>
                </w:p>
              </w:tc>
              <w:tc>
                <w:tcPr>
                  <w:tcW w:w="837" w:type="pct"/>
                  <w:tcBorders>
                    <w:tl2br w:val="nil"/>
                    <w:tr2bl w:val="nil"/>
                  </w:tcBorders>
                  <w:vAlign w:val="center"/>
                </w:tcPr>
                <w:p w14:paraId="36F2CF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SDL2-130L SWSC</w:t>
                  </w:r>
                </w:p>
              </w:tc>
              <w:tc>
                <w:tcPr>
                  <w:tcW w:w="575" w:type="pct"/>
                  <w:tcBorders>
                    <w:tl2br w:val="nil"/>
                    <w:tr2bl w:val="nil"/>
                  </w:tcBorders>
                  <w:vAlign w:val="center"/>
                </w:tcPr>
                <w:p w14:paraId="0FE590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vMerge w:val="continue"/>
                  <w:tcBorders>
                    <w:tl2br w:val="nil"/>
                    <w:tr2bl w:val="nil"/>
                  </w:tcBorders>
                  <w:vAlign w:val="center"/>
                </w:tcPr>
                <w:p w14:paraId="197628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p>
              </w:tc>
              <w:tc>
                <w:tcPr>
                  <w:tcW w:w="1314" w:type="pct"/>
                  <w:vMerge w:val="continue"/>
                  <w:tcBorders>
                    <w:tl2br w:val="nil"/>
                    <w:tr2bl w:val="nil"/>
                  </w:tcBorders>
                  <w:vAlign w:val="center"/>
                </w:tcPr>
                <w:p w14:paraId="32768D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p>
              </w:tc>
            </w:tr>
            <w:tr w14:paraId="21C289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517D75D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29</w:t>
                  </w:r>
                </w:p>
              </w:tc>
              <w:tc>
                <w:tcPr>
                  <w:tcW w:w="1275" w:type="pct"/>
                  <w:tcBorders>
                    <w:tl2br w:val="nil"/>
                    <w:tr2bl w:val="nil"/>
                  </w:tcBorders>
                  <w:vAlign w:val="center"/>
                </w:tcPr>
                <w:p w14:paraId="0B1944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水塔</w:t>
                  </w:r>
                </w:p>
              </w:tc>
              <w:tc>
                <w:tcPr>
                  <w:tcW w:w="837" w:type="pct"/>
                  <w:tcBorders>
                    <w:tl2br w:val="nil"/>
                    <w:tr2bl w:val="nil"/>
                  </w:tcBorders>
                  <w:vAlign w:val="center"/>
                </w:tcPr>
                <w:p w14:paraId="63A448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575" w:type="pct"/>
                  <w:tcBorders>
                    <w:tl2br w:val="nil"/>
                    <w:tr2bl w:val="nil"/>
                  </w:tcBorders>
                  <w:vAlign w:val="center"/>
                </w:tcPr>
                <w:p w14:paraId="102092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vMerge w:val="continue"/>
                  <w:tcBorders>
                    <w:tl2br w:val="nil"/>
                    <w:tr2bl w:val="nil"/>
                  </w:tcBorders>
                  <w:vAlign w:val="center"/>
                </w:tcPr>
                <w:p w14:paraId="0F4B8E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p>
              </w:tc>
              <w:tc>
                <w:tcPr>
                  <w:tcW w:w="1314" w:type="pct"/>
                  <w:vMerge w:val="continue"/>
                  <w:tcBorders>
                    <w:tl2br w:val="nil"/>
                    <w:tr2bl w:val="nil"/>
                  </w:tcBorders>
                  <w:vAlign w:val="center"/>
                </w:tcPr>
                <w:p w14:paraId="28339C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p>
              </w:tc>
            </w:tr>
            <w:tr w14:paraId="33F2C4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1979337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30</w:t>
                  </w:r>
                </w:p>
              </w:tc>
              <w:tc>
                <w:tcPr>
                  <w:tcW w:w="1275" w:type="pct"/>
                  <w:tcBorders>
                    <w:tl2br w:val="nil"/>
                    <w:tr2bl w:val="nil"/>
                  </w:tcBorders>
                  <w:vAlign w:val="center"/>
                </w:tcPr>
                <w:p w14:paraId="50E5CA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贮水罐</w:t>
                  </w:r>
                </w:p>
              </w:tc>
              <w:tc>
                <w:tcPr>
                  <w:tcW w:w="837" w:type="pct"/>
                  <w:tcBorders>
                    <w:tl2br w:val="nil"/>
                    <w:tr2bl w:val="nil"/>
                  </w:tcBorders>
                  <w:vAlign w:val="center"/>
                </w:tcPr>
                <w:p w14:paraId="5759C5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575" w:type="pct"/>
                  <w:tcBorders>
                    <w:tl2br w:val="nil"/>
                    <w:tr2bl w:val="nil"/>
                  </w:tcBorders>
                  <w:vAlign w:val="center"/>
                </w:tcPr>
                <w:p w14:paraId="5B2A84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vMerge w:val="continue"/>
                  <w:tcBorders>
                    <w:tl2br w:val="nil"/>
                    <w:tr2bl w:val="nil"/>
                  </w:tcBorders>
                  <w:vAlign w:val="center"/>
                </w:tcPr>
                <w:p w14:paraId="646C87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p>
              </w:tc>
              <w:tc>
                <w:tcPr>
                  <w:tcW w:w="1314" w:type="pct"/>
                  <w:vMerge w:val="continue"/>
                  <w:tcBorders>
                    <w:tl2br w:val="nil"/>
                    <w:tr2bl w:val="nil"/>
                  </w:tcBorders>
                  <w:vAlign w:val="center"/>
                </w:tcPr>
                <w:p w14:paraId="6B2858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p>
              </w:tc>
            </w:tr>
            <w:tr w14:paraId="6CBE07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7399DA2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31</w:t>
                  </w:r>
                </w:p>
              </w:tc>
              <w:tc>
                <w:tcPr>
                  <w:tcW w:w="1275" w:type="pct"/>
                  <w:tcBorders>
                    <w:tl2br w:val="nil"/>
                    <w:tr2bl w:val="nil"/>
                  </w:tcBorders>
                  <w:vAlign w:val="top"/>
                </w:tcPr>
                <w:p w14:paraId="5A6589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分析天平</w:t>
                  </w:r>
                </w:p>
              </w:tc>
              <w:tc>
                <w:tcPr>
                  <w:tcW w:w="837" w:type="pct"/>
                  <w:tcBorders>
                    <w:tl2br w:val="nil"/>
                    <w:tr2bl w:val="nil"/>
                  </w:tcBorders>
                  <w:vAlign w:val="top"/>
                </w:tcPr>
                <w:p w14:paraId="0FA8EB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TG328A</w:t>
                  </w:r>
                </w:p>
              </w:tc>
              <w:tc>
                <w:tcPr>
                  <w:tcW w:w="575" w:type="pct"/>
                  <w:tcBorders>
                    <w:tl2br w:val="nil"/>
                    <w:tr2bl w:val="nil"/>
                  </w:tcBorders>
                  <w:vAlign w:val="center"/>
                </w:tcPr>
                <w:p w14:paraId="387467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74DBD6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3FC15E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化验室</w:t>
                  </w:r>
                </w:p>
              </w:tc>
            </w:tr>
            <w:tr w14:paraId="71928E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10CBF37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32</w:t>
                  </w:r>
                </w:p>
              </w:tc>
              <w:tc>
                <w:tcPr>
                  <w:tcW w:w="1275" w:type="pct"/>
                  <w:tcBorders>
                    <w:tl2br w:val="nil"/>
                    <w:tr2bl w:val="nil"/>
                  </w:tcBorders>
                  <w:vAlign w:val="top"/>
                </w:tcPr>
                <w:p w14:paraId="348941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电热恒温干燥箱</w:t>
                  </w:r>
                </w:p>
              </w:tc>
              <w:tc>
                <w:tcPr>
                  <w:tcW w:w="837" w:type="pct"/>
                  <w:tcBorders>
                    <w:tl2br w:val="nil"/>
                    <w:tr2bl w:val="nil"/>
                  </w:tcBorders>
                  <w:vAlign w:val="top"/>
                </w:tcPr>
                <w:p w14:paraId="5D7B9E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GZX-DH202</w:t>
                  </w:r>
                </w:p>
              </w:tc>
              <w:tc>
                <w:tcPr>
                  <w:tcW w:w="575" w:type="pct"/>
                  <w:tcBorders>
                    <w:tl2br w:val="nil"/>
                    <w:tr2bl w:val="nil"/>
                  </w:tcBorders>
                  <w:vAlign w:val="center"/>
                </w:tcPr>
                <w:p w14:paraId="72F5AC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41443A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707008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化验室</w:t>
                  </w:r>
                </w:p>
              </w:tc>
            </w:tr>
            <w:tr w14:paraId="13ACA7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1ED3274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33</w:t>
                  </w:r>
                </w:p>
              </w:tc>
              <w:tc>
                <w:tcPr>
                  <w:tcW w:w="1275" w:type="pct"/>
                  <w:tcBorders>
                    <w:tl2br w:val="nil"/>
                    <w:tr2bl w:val="nil"/>
                  </w:tcBorders>
                  <w:vAlign w:val="top"/>
                </w:tcPr>
                <w:p w14:paraId="292CC7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电热恒温培养箱</w:t>
                  </w:r>
                </w:p>
              </w:tc>
              <w:tc>
                <w:tcPr>
                  <w:tcW w:w="837" w:type="pct"/>
                  <w:tcBorders>
                    <w:tl2br w:val="nil"/>
                    <w:tr2bl w:val="nil"/>
                  </w:tcBorders>
                  <w:vAlign w:val="top"/>
                </w:tcPr>
                <w:p w14:paraId="633476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HH/B11</w:t>
                  </w:r>
                </w:p>
              </w:tc>
              <w:tc>
                <w:tcPr>
                  <w:tcW w:w="575" w:type="pct"/>
                  <w:tcBorders>
                    <w:tl2br w:val="nil"/>
                    <w:tr2bl w:val="nil"/>
                  </w:tcBorders>
                  <w:vAlign w:val="center"/>
                </w:tcPr>
                <w:p w14:paraId="60F545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159CD5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13BC6C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化验室</w:t>
                  </w:r>
                </w:p>
              </w:tc>
            </w:tr>
            <w:tr w14:paraId="3C7B45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75922A3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34</w:t>
                  </w:r>
                </w:p>
              </w:tc>
              <w:tc>
                <w:tcPr>
                  <w:tcW w:w="1275" w:type="pct"/>
                  <w:tcBorders>
                    <w:tl2br w:val="nil"/>
                    <w:tr2bl w:val="nil"/>
                  </w:tcBorders>
                  <w:vAlign w:val="top"/>
                </w:tcPr>
                <w:p w14:paraId="68E5C3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电热恒温水浴锅</w:t>
                  </w:r>
                </w:p>
              </w:tc>
              <w:tc>
                <w:tcPr>
                  <w:tcW w:w="837" w:type="pct"/>
                  <w:tcBorders>
                    <w:tl2br w:val="nil"/>
                    <w:tr2bl w:val="nil"/>
                  </w:tcBorders>
                  <w:vAlign w:val="top"/>
                </w:tcPr>
                <w:p w14:paraId="4B1AA7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HH-6</w:t>
                  </w:r>
                </w:p>
              </w:tc>
              <w:tc>
                <w:tcPr>
                  <w:tcW w:w="575" w:type="pct"/>
                  <w:tcBorders>
                    <w:tl2br w:val="nil"/>
                    <w:tr2bl w:val="nil"/>
                  </w:tcBorders>
                  <w:vAlign w:val="center"/>
                </w:tcPr>
                <w:p w14:paraId="18EB21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1AAD8D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5647CE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化验室</w:t>
                  </w:r>
                </w:p>
              </w:tc>
            </w:tr>
            <w:tr w14:paraId="460AD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dxa"/>
                  <w:tcBorders>
                    <w:tl2br w:val="nil"/>
                    <w:tr2bl w:val="nil"/>
                  </w:tcBorders>
                  <w:vAlign w:val="center"/>
                </w:tcPr>
                <w:p w14:paraId="50CDD81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35</w:t>
                  </w:r>
                </w:p>
              </w:tc>
              <w:tc>
                <w:tcPr>
                  <w:tcW w:w="1275" w:type="pct"/>
                  <w:tcBorders>
                    <w:tl2br w:val="nil"/>
                    <w:tr2bl w:val="nil"/>
                  </w:tcBorders>
                  <w:vAlign w:val="top"/>
                </w:tcPr>
                <w:p w14:paraId="339D0B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生物显微镜</w:t>
                  </w:r>
                </w:p>
              </w:tc>
              <w:tc>
                <w:tcPr>
                  <w:tcW w:w="837" w:type="pct"/>
                  <w:tcBorders>
                    <w:tl2br w:val="nil"/>
                    <w:tr2bl w:val="nil"/>
                  </w:tcBorders>
                  <w:vAlign w:val="top"/>
                </w:tcPr>
                <w:p w14:paraId="42E4B3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XSP-1600X</w:t>
                  </w:r>
                </w:p>
              </w:tc>
              <w:tc>
                <w:tcPr>
                  <w:tcW w:w="575" w:type="pct"/>
                  <w:tcBorders>
                    <w:tl2br w:val="nil"/>
                    <w:tr2bl w:val="nil"/>
                  </w:tcBorders>
                  <w:vAlign w:val="center"/>
                </w:tcPr>
                <w:p w14:paraId="13C7C8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26D700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4C1E5F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化验室</w:t>
                  </w:r>
                </w:p>
              </w:tc>
            </w:tr>
            <w:tr w14:paraId="31C13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trPr>
              <w:tc>
                <w:tcPr>
                  <w:tcW w:w="575" w:type="dxa"/>
                  <w:tcBorders>
                    <w:tl2br w:val="nil"/>
                    <w:tr2bl w:val="nil"/>
                  </w:tcBorders>
                  <w:vAlign w:val="center"/>
                </w:tcPr>
                <w:p w14:paraId="4955ACC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36</w:t>
                  </w:r>
                </w:p>
              </w:tc>
              <w:tc>
                <w:tcPr>
                  <w:tcW w:w="1275" w:type="pct"/>
                  <w:tcBorders>
                    <w:tl2br w:val="nil"/>
                    <w:tr2bl w:val="nil"/>
                  </w:tcBorders>
                  <w:vAlign w:val="top"/>
                </w:tcPr>
                <w:p w14:paraId="2CBC66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TCL冰箱</w:t>
                  </w:r>
                </w:p>
              </w:tc>
              <w:tc>
                <w:tcPr>
                  <w:tcW w:w="837" w:type="pct"/>
                  <w:tcBorders>
                    <w:tl2br w:val="nil"/>
                    <w:tr2bl w:val="nil"/>
                  </w:tcBorders>
                  <w:vAlign w:val="top"/>
                </w:tcPr>
                <w:p w14:paraId="30B0E9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DC-48B</w:t>
                  </w:r>
                </w:p>
              </w:tc>
              <w:tc>
                <w:tcPr>
                  <w:tcW w:w="575" w:type="pct"/>
                  <w:tcBorders>
                    <w:tl2br w:val="nil"/>
                    <w:tr2bl w:val="nil"/>
                  </w:tcBorders>
                  <w:vAlign w:val="center"/>
                </w:tcPr>
                <w:p w14:paraId="42423A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675" w:type="pct"/>
                  <w:tcBorders>
                    <w:tl2br w:val="nil"/>
                    <w:tr2bl w:val="nil"/>
                  </w:tcBorders>
                  <w:vAlign w:val="center"/>
                </w:tcPr>
                <w:p w14:paraId="3A033A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1314" w:type="pct"/>
                  <w:tcBorders>
                    <w:tl2br w:val="nil"/>
                    <w:tr2bl w:val="nil"/>
                  </w:tcBorders>
                  <w:vAlign w:val="center"/>
                </w:tcPr>
                <w:p w14:paraId="58310D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化验室</w:t>
                  </w:r>
                </w:p>
              </w:tc>
            </w:tr>
            <w:bookmarkEnd w:id="20"/>
            <w:bookmarkEnd w:id="21"/>
          </w:tbl>
          <w:p w14:paraId="1510A133">
            <w:pPr>
              <w:ind w:firstLine="482"/>
              <w:rPr>
                <w:rFonts w:ascii="Times New Roman" w:hAnsi="Times New Roman" w:eastAsia="宋体"/>
                <w:b/>
                <w:bCs/>
                <w:color w:val="auto"/>
                <w:kern w:val="0"/>
                <w:highlight w:val="none"/>
              </w:rPr>
            </w:pPr>
            <w:r>
              <w:rPr>
                <w:rFonts w:hint="eastAsia" w:ascii="Times New Roman" w:hAnsi="Times New Roman" w:eastAsia="宋体"/>
                <w:b/>
                <w:bCs/>
                <w:color w:val="auto"/>
                <w:kern w:val="0"/>
                <w:highlight w:val="none"/>
              </w:rPr>
              <w:t>2.</w:t>
            </w:r>
            <w:r>
              <w:rPr>
                <w:rFonts w:hint="eastAsia"/>
                <w:b/>
                <w:bCs/>
                <w:color w:val="auto"/>
                <w:kern w:val="0"/>
                <w:highlight w:val="none"/>
                <w:lang w:val="en-US" w:eastAsia="zh-CN"/>
              </w:rPr>
              <w:t>4本项目</w:t>
            </w:r>
            <w:r>
              <w:rPr>
                <w:rFonts w:hint="eastAsia" w:ascii="Times New Roman" w:hAnsi="Times New Roman" w:eastAsia="宋体"/>
                <w:b/>
                <w:bCs/>
                <w:color w:val="auto"/>
                <w:kern w:val="0"/>
                <w:highlight w:val="none"/>
              </w:rPr>
              <w:t>总平面布置及合理性分析</w:t>
            </w:r>
          </w:p>
          <w:p w14:paraId="5D77B021">
            <w:pPr>
              <w:spacing w:line="360" w:lineRule="auto"/>
              <w:ind w:firstLine="480" w:firstLineChars="200"/>
              <w:rPr>
                <w:color w:val="auto"/>
                <w:sz w:val="24"/>
              </w:rPr>
            </w:pPr>
            <w:r>
              <w:rPr>
                <w:color w:val="auto"/>
                <w:sz w:val="24"/>
              </w:rPr>
              <w:t>根据现场踏勘及建设单位提供资料，本项目</w:t>
            </w:r>
            <w:r>
              <w:rPr>
                <w:rFonts w:hint="eastAsia"/>
                <w:color w:val="auto"/>
                <w:sz w:val="24"/>
                <w:lang w:val="en-US" w:eastAsia="zh-CN"/>
              </w:rPr>
              <w:t>整体</w:t>
            </w:r>
            <w:r>
              <w:rPr>
                <w:color w:val="auto"/>
                <w:sz w:val="24"/>
              </w:rPr>
              <w:t>呈矩形。</w:t>
            </w:r>
            <w:r>
              <w:rPr>
                <w:rFonts w:hint="eastAsia"/>
                <w:color w:val="auto"/>
                <w:sz w:val="24"/>
              </w:rPr>
              <w:t>结合场地条件及生产工艺流程设计统筹布局，项目厂房按功能分为生产区</w:t>
            </w:r>
            <w:r>
              <w:rPr>
                <w:rFonts w:hint="eastAsia"/>
                <w:color w:val="auto"/>
                <w:sz w:val="24"/>
                <w:lang w:eastAsia="zh-CN"/>
              </w:rPr>
              <w:t>和辅助用地区域等</w:t>
            </w:r>
            <w:r>
              <w:rPr>
                <w:rFonts w:hint="eastAsia"/>
                <w:color w:val="auto"/>
                <w:sz w:val="24"/>
              </w:rPr>
              <w:t>，</w:t>
            </w:r>
            <w:r>
              <w:rPr>
                <w:rFonts w:hint="eastAsia"/>
                <w:color w:val="auto"/>
                <w:sz w:val="24"/>
                <w:lang w:eastAsia="zh-CN"/>
              </w:rPr>
              <w:t>生产区位于项目南侧和西南侧，包括</w:t>
            </w:r>
            <w:r>
              <w:rPr>
                <w:rFonts w:hint="eastAsia"/>
                <w:color w:val="auto"/>
                <w:sz w:val="24"/>
                <w:lang w:val="en-US" w:eastAsia="zh-CN"/>
              </w:rPr>
              <w:t>发酵间、粗滤间、陈酿间、调配间、精滤间、冷冻间，脱醇间、灌装间</w:t>
            </w:r>
            <w:r>
              <w:rPr>
                <w:rFonts w:hint="eastAsia"/>
                <w:color w:val="auto"/>
                <w:sz w:val="24"/>
                <w:lang w:eastAsia="zh-CN"/>
              </w:rPr>
              <w:t>等，辅助用地区域主要位于项目西侧和东侧，包括一般固废暂存间、成品区、办公区、水处理间等，</w:t>
            </w:r>
            <w:r>
              <w:rPr>
                <w:rFonts w:hint="eastAsia"/>
                <w:color w:val="auto"/>
                <w:sz w:val="24"/>
              </w:rPr>
              <w:t>各功能分区明确，设计路线清晰，从生产工艺流程、物料运输、环境保护等方面分析，项目总平面布置基本合理。</w:t>
            </w:r>
            <w:r>
              <w:rPr>
                <w:rFonts w:hint="eastAsia"/>
                <w:color w:val="auto"/>
                <w:sz w:val="24"/>
                <w:lang w:eastAsia="zh-CN"/>
              </w:rPr>
              <w:t>生产区</w:t>
            </w:r>
            <w:r>
              <w:rPr>
                <w:color w:val="auto"/>
                <w:sz w:val="24"/>
              </w:rPr>
              <w:t>平面布置详见附图</w:t>
            </w:r>
            <w:r>
              <w:rPr>
                <w:rFonts w:hint="eastAsia"/>
                <w:color w:val="auto"/>
                <w:sz w:val="24"/>
                <w:lang w:val="en-US" w:eastAsia="zh-CN"/>
              </w:rPr>
              <w:t>3</w:t>
            </w:r>
            <w:r>
              <w:rPr>
                <w:color w:val="auto"/>
                <w:sz w:val="24"/>
              </w:rPr>
              <w:t>。</w:t>
            </w:r>
          </w:p>
          <w:p w14:paraId="4D94AE9C">
            <w:pPr>
              <w:ind w:firstLine="482"/>
              <w:rPr>
                <w:rFonts w:hint="eastAsia" w:ascii="Times New Roman" w:hAnsi="Times New Roman" w:eastAsia="宋体" w:cs="Times New Roman"/>
                <w:b/>
                <w:bCs/>
                <w:color w:val="auto"/>
                <w:kern w:val="0"/>
                <w:highlight w:val="none"/>
              </w:rPr>
            </w:pPr>
            <w:r>
              <w:rPr>
                <w:rFonts w:hint="eastAsia" w:ascii="Times New Roman" w:hAnsi="Times New Roman" w:eastAsia="宋体" w:cs="Times New Roman"/>
                <w:b/>
                <w:bCs/>
                <w:color w:val="auto"/>
                <w:kern w:val="0"/>
                <w:highlight w:val="none"/>
              </w:rPr>
              <w:t>2.</w:t>
            </w:r>
            <w:r>
              <w:rPr>
                <w:rFonts w:hint="eastAsia" w:ascii="Times New Roman" w:hAnsi="Times New Roman" w:eastAsia="宋体" w:cs="Times New Roman"/>
                <w:b/>
                <w:bCs/>
                <w:color w:val="auto"/>
                <w:kern w:val="0"/>
                <w:highlight w:val="none"/>
                <w:lang w:val="en-US" w:eastAsia="zh-CN"/>
              </w:rPr>
              <w:t>5</w:t>
            </w:r>
            <w:r>
              <w:rPr>
                <w:rFonts w:hint="eastAsia" w:ascii="Times New Roman" w:hAnsi="Times New Roman" w:eastAsia="宋体" w:cs="Times New Roman"/>
                <w:b/>
                <w:bCs/>
                <w:color w:val="auto"/>
                <w:kern w:val="0"/>
                <w:highlight w:val="none"/>
              </w:rPr>
              <w:t>劳动定员与工作制度</w:t>
            </w:r>
          </w:p>
          <w:p w14:paraId="794A7522">
            <w:pPr>
              <w:adjustRightInd w:val="0"/>
              <w:snapToGrid w:val="0"/>
              <w:spacing w:line="360" w:lineRule="auto"/>
              <w:ind w:firstLine="480" w:firstLineChars="200"/>
              <w:rPr>
                <w:rFonts w:ascii="Times New Roman" w:hAnsi="Times New Roman" w:eastAsia="宋体" w:cs="Times New Roman"/>
                <w:bCs/>
                <w:strike w:val="0"/>
                <w:dstrike w:val="0"/>
                <w:color w:val="auto"/>
                <w:sz w:val="24"/>
                <w:szCs w:val="24"/>
                <w:highlight w:val="none"/>
                <w14:ligatures w14:val="none"/>
              </w:rPr>
            </w:pPr>
            <w:r>
              <w:rPr>
                <w:rFonts w:hint="eastAsia" w:ascii="Times New Roman" w:hAnsi="Times New Roman" w:eastAsia="宋体" w:cs="Times New Roman"/>
                <w:bCs/>
                <w:strike w:val="0"/>
                <w:dstrike w:val="0"/>
                <w:color w:val="FF0000"/>
                <w:sz w:val="24"/>
                <w:szCs w:val="24"/>
                <w:lang w:eastAsia="zh-CN"/>
                <w14:ligatures w14:val="none"/>
              </w:rPr>
              <w:t>本</w:t>
            </w:r>
            <w:r>
              <w:rPr>
                <w:rFonts w:ascii="Times New Roman" w:hAnsi="Times New Roman" w:eastAsia="宋体" w:cs="Times New Roman"/>
                <w:bCs/>
                <w:strike w:val="0"/>
                <w:dstrike w:val="0"/>
                <w:color w:val="FF0000"/>
                <w:sz w:val="24"/>
                <w:szCs w:val="24"/>
                <w14:ligatures w14:val="none"/>
              </w:rPr>
              <w:t>项目劳动定员</w:t>
            </w:r>
            <w:r>
              <w:rPr>
                <w:rFonts w:hint="eastAsia" w:ascii="Times New Roman" w:hAnsi="Times New Roman" w:eastAsia="宋体" w:cs="Times New Roman"/>
                <w:bCs/>
                <w:strike w:val="0"/>
                <w:dstrike w:val="0"/>
                <w:color w:val="FF0000"/>
                <w:sz w:val="24"/>
                <w:szCs w:val="24"/>
                <w:lang w:eastAsia="zh-CN"/>
                <w14:ligatures w14:val="none"/>
              </w:rPr>
              <w:t>为</w:t>
            </w:r>
            <w:r>
              <w:rPr>
                <w:rFonts w:hint="eastAsia" w:cs="Times New Roman"/>
                <w:bCs/>
                <w:strike w:val="0"/>
                <w:dstrike w:val="0"/>
                <w:color w:val="FF0000"/>
                <w:sz w:val="24"/>
                <w:szCs w:val="24"/>
                <w:lang w:val="en-US" w:eastAsia="zh-CN"/>
                <w14:ligatures w14:val="none"/>
              </w:rPr>
              <w:t>27</w:t>
            </w:r>
            <w:r>
              <w:rPr>
                <w:rFonts w:ascii="Times New Roman" w:hAnsi="Times New Roman" w:eastAsia="宋体" w:cs="Times New Roman"/>
                <w:bCs/>
                <w:strike w:val="0"/>
                <w:dstrike w:val="0"/>
                <w:color w:val="FF0000"/>
                <w:sz w:val="24"/>
                <w:szCs w:val="24"/>
                <w14:ligatures w14:val="none"/>
              </w:rPr>
              <w:t>人，</w:t>
            </w:r>
            <w:r>
              <w:rPr>
                <w:rFonts w:hint="eastAsia" w:ascii="Times New Roman" w:hAnsi="Times New Roman" w:eastAsia="宋体" w:cs="Times New Roman"/>
                <w:bCs/>
                <w:strike w:val="0"/>
                <w:dstrike w:val="0"/>
                <w:color w:val="FF0000"/>
                <w:sz w:val="24"/>
                <w:szCs w:val="24"/>
                <w:lang w:eastAsia="zh-CN"/>
                <w14:ligatures w14:val="none"/>
              </w:rPr>
              <w:t>实行</w:t>
            </w:r>
            <w:r>
              <w:rPr>
                <w:rFonts w:hint="eastAsia" w:cs="Times New Roman"/>
                <w:bCs/>
                <w:strike w:val="0"/>
                <w:dstrike w:val="0"/>
                <w:color w:val="FF0000"/>
                <w:sz w:val="24"/>
                <w:szCs w:val="24"/>
                <w:lang w:val="en-US" w:eastAsia="zh-CN"/>
                <w14:ligatures w14:val="none"/>
              </w:rPr>
              <w:t>3</w:t>
            </w:r>
            <w:r>
              <w:rPr>
                <w:rFonts w:ascii="Times New Roman" w:hAnsi="Times New Roman" w:eastAsia="宋体" w:cs="Times New Roman"/>
                <w:bCs/>
                <w:strike w:val="0"/>
                <w:dstrike w:val="0"/>
                <w:color w:val="FF0000"/>
                <w:sz w:val="24"/>
                <w:szCs w:val="24"/>
                <w14:ligatures w14:val="none"/>
              </w:rPr>
              <w:t>班</w:t>
            </w:r>
            <w:r>
              <w:rPr>
                <w:rFonts w:hint="eastAsia" w:ascii="Times New Roman" w:hAnsi="Times New Roman" w:eastAsia="宋体" w:cs="Times New Roman"/>
                <w:bCs/>
                <w:strike w:val="0"/>
                <w:dstrike w:val="0"/>
                <w:color w:val="FF0000"/>
                <w:sz w:val="24"/>
                <w:szCs w:val="24"/>
                <w:lang w:eastAsia="zh-CN"/>
                <w14:ligatures w14:val="none"/>
              </w:rPr>
              <w:t>工作</w:t>
            </w:r>
            <w:r>
              <w:rPr>
                <w:rFonts w:ascii="Times New Roman" w:hAnsi="Times New Roman" w:eastAsia="宋体" w:cs="Times New Roman"/>
                <w:bCs/>
                <w:strike w:val="0"/>
                <w:dstrike w:val="0"/>
                <w:color w:val="FF0000"/>
                <w:sz w:val="24"/>
                <w:szCs w:val="24"/>
                <w14:ligatures w14:val="none"/>
              </w:rPr>
              <w:t>制，每班</w:t>
            </w:r>
            <w:r>
              <w:rPr>
                <w:rFonts w:hint="eastAsia" w:ascii="Times New Roman" w:hAnsi="Times New Roman" w:eastAsia="宋体" w:cs="Times New Roman"/>
                <w:bCs/>
                <w:strike w:val="0"/>
                <w:dstrike w:val="0"/>
                <w:color w:val="FF0000"/>
                <w:sz w:val="24"/>
                <w:szCs w:val="24"/>
                <w:highlight w:val="none"/>
                <w:lang w:eastAsia="zh-CN"/>
                <w14:ligatures w14:val="none"/>
              </w:rPr>
              <w:t>工作</w:t>
            </w:r>
            <w:r>
              <w:rPr>
                <w:rFonts w:hint="eastAsia" w:cs="Times New Roman"/>
                <w:bCs/>
                <w:strike w:val="0"/>
                <w:dstrike w:val="0"/>
                <w:color w:val="FF0000"/>
                <w:sz w:val="24"/>
                <w:szCs w:val="24"/>
                <w:highlight w:val="none"/>
                <w:lang w:val="en-US" w:eastAsia="zh-CN"/>
                <w14:ligatures w14:val="none"/>
              </w:rPr>
              <w:t>8</w:t>
            </w:r>
            <w:r>
              <w:rPr>
                <w:rFonts w:ascii="Times New Roman" w:hAnsi="Times New Roman" w:eastAsia="宋体" w:cs="Times New Roman"/>
                <w:bCs/>
                <w:strike w:val="0"/>
                <w:dstrike w:val="0"/>
                <w:color w:val="FF0000"/>
                <w:sz w:val="24"/>
                <w:szCs w:val="24"/>
                <w:highlight w:val="none"/>
                <w14:ligatures w14:val="none"/>
              </w:rPr>
              <w:t>h，</w:t>
            </w:r>
            <w:r>
              <w:rPr>
                <w:rFonts w:hint="eastAsia" w:ascii="Times New Roman" w:hAnsi="Times New Roman" w:eastAsia="宋体" w:cs="Times New Roman"/>
                <w:bCs/>
                <w:strike w:val="0"/>
                <w:dstrike w:val="0"/>
                <w:color w:val="FF0000"/>
                <w:sz w:val="24"/>
                <w:szCs w:val="24"/>
                <w:highlight w:val="none"/>
                <w:lang w:eastAsia="zh-CN"/>
                <w14:ligatures w14:val="none"/>
              </w:rPr>
              <w:t>全</w:t>
            </w:r>
            <w:r>
              <w:rPr>
                <w:rFonts w:ascii="Times New Roman" w:hAnsi="Times New Roman" w:eastAsia="宋体" w:cs="Times New Roman"/>
                <w:bCs/>
                <w:strike w:val="0"/>
                <w:dstrike w:val="0"/>
                <w:color w:val="FF0000"/>
                <w:sz w:val="24"/>
                <w:szCs w:val="24"/>
                <w:highlight w:val="none"/>
                <w14:ligatures w14:val="none"/>
              </w:rPr>
              <w:t>年工作</w:t>
            </w:r>
            <w:r>
              <w:rPr>
                <w:rFonts w:hint="eastAsia" w:cs="Times New Roman"/>
                <w:bCs/>
                <w:strike w:val="0"/>
                <w:dstrike w:val="0"/>
                <w:color w:val="FF0000"/>
                <w:sz w:val="24"/>
                <w:szCs w:val="24"/>
                <w:highlight w:val="none"/>
                <w:lang w:val="en-US" w:eastAsia="zh-CN"/>
                <w14:ligatures w14:val="none"/>
              </w:rPr>
              <w:t>27</w:t>
            </w:r>
            <w:r>
              <w:rPr>
                <w:rFonts w:ascii="Times New Roman" w:hAnsi="Times New Roman" w:eastAsia="宋体" w:cs="Times New Roman"/>
                <w:bCs/>
                <w:strike w:val="0"/>
                <w:dstrike w:val="0"/>
                <w:color w:val="FF0000"/>
                <w:sz w:val="24"/>
                <w:szCs w:val="24"/>
                <w:highlight w:val="none"/>
                <w14:ligatures w14:val="none"/>
              </w:rPr>
              <w:t>0天</w:t>
            </w:r>
            <w:r>
              <w:rPr>
                <w:rFonts w:hint="eastAsia" w:ascii="Times New Roman" w:hAnsi="Times New Roman" w:eastAsia="宋体" w:cs="Times New Roman"/>
                <w:bCs/>
                <w:strike w:val="0"/>
                <w:dstrike w:val="0"/>
                <w:color w:val="FF0000"/>
                <w:sz w:val="24"/>
                <w:szCs w:val="24"/>
                <w:highlight w:val="none"/>
                <w:lang w:eastAsia="zh-CN"/>
                <w14:ligatures w14:val="none"/>
              </w:rPr>
              <w:t>，</w:t>
            </w:r>
            <w:r>
              <w:rPr>
                <w:rFonts w:hint="eastAsia" w:ascii="Times New Roman" w:hAnsi="Times New Roman" w:eastAsia="宋体" w:cs="Times New Roman"/>
                <w:bCs/>
                <w:strike w:val="0"/>
                <w:dstrike w:val="0"/>
                <w:color w:val="auto"/>
                <w:sz w:val="24"/>
                <w:szCs w:val="24"/>
                <w:highlight w:val="none"/>
                <w:lang w:eastAsia="zh-CN"/>
                <w14:ligatures w14:val="none"/>
              </w:rPr>
              <w:t>员工均不在项目厂区内食宿</w:t>
            </w:r>
            <w:r>
              <w:rPr>
                <w:rFonts w:ascii="Times New Roman" w:hAnsi="Times New Roman" w:eastAsia="宋体" w:cs="Times New Roman"/>
                <w:bCs/>
                <w:strike w:val="0"/>
                <w:dstrike w:val="0"/>
                <w:color w:val="auto"/>
                <w:sz w:val="24"/>
                <w:szCs w:val="24"/>
                <w:highlight w:val="none"/>
                <w14:ligatures w14:val="none"/>
              </w:rPr>
              <w:t>。</w:t>
            </w:r>
          </w:p>
          <w:p w14:paraId="6D6CEF60">
            <w:pPr>
              <w:ind w:firstLine="482"/>
              <w:rPr>
                <w:rFonts w:ascii="Times New Roman" w:hAnsi="Times New Roman" w:eastAsia="宋体"/>
                <w:b/>
                <w:bCs/>
                <w:color w:val="auto"/>
                <w:kern w:val="0"/>
                <w:highlight w:val="none"/>
              </w:rPr>
            </w:pPr>
            <w:r>
              <w:rPr>
                <w:rFonts w:hint="eastAsia" w:ascii="Times New Roman" w:hAnsi="Times New Roman" w:eastAsia="宋体"/>
                <w:b/>
                <w:bCs/>
                <w:color w:val="auto"/>
                <w:kern w:val="0"/>
                <w:highlight w:val="none"/>
              </w:rPr>
              <w:t>2.</w:t>
            </w:r>
            <w:r>
              <w:rPr>
                <w:rFonts w:hint="eastAsia" w:ascii="Times New Roman" w:hAnsi="Times New Roman"/>
                <w:b/>
                <w:bCs/>
                <w:color w:val="auto"/>
                <w:kern w:val="0"/>
                <w:highlight w:val="none"/>
                <w:lang w:val="en-US" w:eastAsia="zh-CN"/>
              </w:rPr>
              <w:t>6</w:t>
            </w:r>
            <w:r>
              <w:rPr>
                <w:rFonts w:ascii="Times New Roman" w:hAnsi="Times New Roman" w:eastAsia="宋体"/>
                <w:b/>
                <w:bCs/>
                <w:color w:val="auto"/>
                <w:kern w:val="0"/>
                <w:highlight w:val="none"/>
              </w:rPr>
              <w:t>公用工程</w:t>
            </w:r>
          </w:p>
          <w:p w14:paraId="3C64ABB2">
            <w:pPr>
              <w:ind w:firstLine="482"/>
              <w:rPr>
                <w:rFonts w:hint="eastAsia" w:ascii="Times New Roman" w:hAnsi="Times New Roman" w:eastAsia="宋体"/>
                <w:b/>
                <w:bCs/>
                <w:color w:val="auto"/>
                <w:kern w:val="0"/>
                <w:highlight w:val="none"/>
                <w:lang w:eastAsia="zh-CN"/>
              </w:rPr>
            </w:pPr>
            <w:r>
              <w:rPr>
                <w:rFonts w:hint="eastAsia" w:ascii="Times New Roman" w:hAnsi="Times New Roman" w:eastAsia="宋体"/>
                <w:b/>
                <w:bCs/>
                <w:color w:val="auto"/>
                <w:kern w:val="0"/>
                <w:highlight w:val="none"/>
              </w:rPr>
              <w:t>2.</w:t>
            </w:r>
            <w:r>
              <w:rPr>
                <w:rFonts w:hint="eastAsia" w:ascii="Times New Roman" w:hAnsi="Times New Roman"/>
                <w:b/>
                <w:bCs/>
                <w:color w:val="auto"/>
                <w:kern w:val="0"/>
                <w:highlight w:val="none"/>
                <w:lang w:val="en-US" w:eastAsia="zh-CN"/>
              </w:rPr>
              <w:t>6</w:t>
            </w:r>
            <w:r>
              <w:rPr>
                <w:rFonts w:hint="eastAsia" w:ascii="Times New Roman" w:hAnsi="Times New Roman" w:eastAsia="宋体"/>
                <w:b/>
                <w:bCs/>
                <w:color w:val="auto"/>
                <w:kern w:val="0"/>
                <w:highlight w:val="none"/>
              </w:rPr>
              <w:t>.1</w:t>
            </w:r>
            <w:r>
              <w:rPr>
                <w:rFonts w:hint="eastAsia"/>
                <w:b/>
                <w:bCs/>
                <w:color w:val="auto"/>
                <w:kern w:val="0"/>
                <w:highlight w:val="none"/>
                <w:lang w:eastAsia="zh-CN"/>
              </w:rPr>
              <w:t>给排水工程</w:t>
            </w:r>
          </w:p>
          <w:p w14:paraId="4FC72E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本项目给水来源于自来水。</w:t>
            </w:r>
          </w:p>
          <w:p w14:paraId="776A6A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w:t>
            </w:r>
            <w:r>
              <w:rPr>
                <w:rFonts w:hint="eastAsia" w:cs="Times New Roman"/>
                <w:b/>
                <w:bCs/>
                <w:color w:val="auto"/>
                <w:sz w:val="24"/>
                <w:szCs w:val="24"/>
                <w:lang w:val="en-US" w:eastAsia="zh-CN"/>
              </w:rPr>
              <w:t>1</w:t>
            </w:r>
            <w:r>
              <w:rPr>
                <w:rFonts w:hint="eastAsia" w:ascii="Times New Roman" w:hAnsi="Times New Roman" w:eastAsia="宋体" w:cs="Times New Roman"/>
                <w:b/>
                <w:bCs/>
                <w:color w:val="auto"/>
                <w:sz w:val="24"/>
                <w:szCs w:val="24"/>
                <w:lang w:val="en-US" w:eastAsia="zh-CN"/>
              </w:rPr>
              <w:t>）生产用水</w:t>
            </w:r>
          </w:p>
          <w:p w14:paraId="5611E5C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color w:val="auto"/>
                <w:kern w:val="0"/>
                <w:position w:val="6"/>
                <w:sz w:val="24"/>
                <w:lang w:val="en-US" w:eastAsia="zh-CN"/>
              </w:rPr>
            </w:pPr>
            <w:r>
              <w:rPr>
                <w:rFonts w:hint="eastAsia" w:ascii="Times New Roman" w:hAnsi="Times New Roman" w:eastAsia="宋体" w:cs="Times New Roman"/>
                <w:b w:val="0"/>
                <w:bCs/>
                <w:color w:val="auto"/>
                <w:kern w:val="0"/>
                <w:position w:val="6"/>
                <w:sz w:val="24"/>
                <w:lang w:val="en-US" w:eastAsia="zh-CN"/>
              </w:rPr>
              <w:t>项目原料为山萸肉，属于干果，不需要进行清洗，因此，项目不涉及原料清洗环节。</w:t>
            </w:r>
            <w:r>
              <w:rPr>
                <w:rFonts w:hint="eastAsia" w:eastAsia="宋体" w:cs="Times New Roman"/>
                <w:b w:val="0"/>
                <w:bCs/>
                <w:color w:val="auto"/>
                <w:kern w:val="0"/>
                <w:position w:val="6"/>
                <w:sz w:val="24"/>
                <w:lang w:val="en-US" w:eastAsia="zh-CN"/>
              </w:rPr>
              <w:t>生产用水主要为</w:t>
            </w:r>
            <w:r>
              <w:rPr>
                <w:rFonts w:hint="eastAsia" w:cs="Times New Roman"/>
                <w:b w:val="0"/>
                <w:bCs/>
                <w:color w:val="auto"/>
                <w:kern w:val="0"/>
                <w:position w:val="6"/>
                <w:sz w:val="24"/>
                <w:lang w:val="en-US" w:eastAsia="zh-CN"/>
              </w:rPr>
              <w:t>设备清洗用水、发酵用水、空瓶清洗用水、试验用水、纯水制备用水</w:t>
            </w:r>
            <w:r>
              <w:rPr>
                <w:rFonts w:hint="eastAsia" w:eastAsia="宋体" w:cs="Times New Roman"/>
                <w:b w:val="0"/>
                <w:bCs/>
                <w:color w:val="auto"/>
                <w:kern w:val="0"/>
                <w:position w:val="6"/>
                <w:sz w:val="24"/>
                <w:lang w:val="en-US" w:eastAsia="zh-CN"/>
              </w:rPr>
              <w:t>，生产</w:t>
            </w:r>
            <w:r>
              <w:rPr>
                <w:rFonts w:hint="eastAsia" w:ascii="Times New Roman" w:hAnsi="Times New Roman" w:eastAsia="宋体" w:cs="Times New Roman"/>
                <w:b w:val="0"/>
                <w:bCs/>
                <w:color w:val="auto"/>
                <w:kern w:val="0"/>
                <w:position w:val="6"/>
                <w:sz w:val="24"/>
                <w:lang w:val="en-US" w:eastAsia="zh-CN"/>
              </w:rPr>
              <w:t>废水主要为</w:t>
            </w:r>
            <w:r>
              <w:rPr>
                <w:rFonts w:hint="eastAsia" w:cs="Times New Roman"/>
                <w:b w:val="0"/>
                <w:bCs/>
                <w:color w:val="auto"/>
                <w:kern w:val="0"/>
                <w:position w:val="6"/>
                <w:sz w:val="24"/>
                <w:lang w:val="en-US" w:eastAsia="zh-CN"/>
              </w:rPr>
              <w:t>设备清洗废水、</w:t>
            </w:r>
            <w:r>
              <w:rPr>
                <w:rFonts w:hint="eastAsia" w:ascii="Times New Roman" w:hAnsi="Times New Roman" w:eastAsia="宋体" w:cs="Times New Roman"/>
                <w:b w:val="0"/>
                <w:bCs/>
                <w:color w:val="auto"/>
                <w:kern w:val="0"/>
                <w:position w:val="6"/>
                <w:sz w:val="24"/>
                <w:lang w:val="en-US" w:eastAsia="zh-CN"/>
              </w:rPr>
              <w:t>空瓶清洗废水、</w:t>
            </w:r>
            <w:r>
              <w:rPr>
                <w:rFonts w:hint="eastAsia" w:cs="Times New Roman"/>
                <w:b w:val="0"/>
                <w:bCs/>
                <w:color w:val="auto"/>
                <w:kern w:val="0"/>
                <w:position w:val="6"/>
                <w:sz w:val="24"/>
                <w:lang w:val="en-US" w:eastAsia="zh-CN"/>
              </w:rPr>
              <w:t>试验废水</w:t>
            </w:r>
            <w:r>
              <w:rPr>
                <w:rFonts w:hint="eastAsia" w:ascii="Times New Roman" w:hAnsi="Times New Roman" w:eastAsia="宋体" w:cs="Times New Roman"/>
                <w:b w:val="0"/>
                <w:bCs/>
                <w:color w:val="auto"/>
                <w:kern w:val="0"/>
                <w:position w:val="6"/>
                <w:sz w:val="24"/>
                <w:lang w:val="en-US" w:eastAsia="zh-CN"/>
              </w:rPr>
              <w:t>、纯水制备浓水。</w:t>
            </w:r>
          </w:p>
          <w:p w14:paraId="72BBBD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FF0000"/>
                <w:sz w:val="24"/>
                <w:lang w:eastAsia="zh-CN"/>
              </w:rPr>
            </w:pPr>
            <w:r>
              <w:rPr>
                <w:rFonts w:hint="eastAsia"/>
                <w:color w:val="FF0000"/>
                <w:sz w:val="24"/>
                <w:lang w:eastAsia="zh-CN"/>
              </w:rPr>
              <w:t>①设备清洗用、排水</w:t>
            </w:r>
          </w:p>
          <w:p w14:paraId="439AEDD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color w:val="FF0000"/>
                <w:szCs w:val="21"/>
                <w:highlight w:val="none"/>
              </w:rPr>
            </w:pPr>
            <w:r>
              <w:rPr>
                <w:rFonts w:hint="eastAsia"/>
                <w:color w:val="FF0000"/>
                <w:sz w:val="24"/>
                <w:lang w:eastAsia="zh-CN"/>
              </w:rPr>
              <w:t>根据建设单位提供资料，</w:t>
            </w:r>
            <w:bookmarkStart w:id="22" w:name="sys11420120"/>
            <w:r>
              <w:rPr>
                <w:rFonts w:hint="eastAsia"/>
                <w:color w:val="FF0000"/>
                <w:szCs w:val="21"/>
                <w:highlight w:val="none"/>
              </w:rPr>
              <w:t>企业使用高压水枪清洗设备，</w:t>
            </w:r>
            <w:r>
              <w:rPr>
                <w:rFonts w:hint="eastAsia"/>
                <w:color w:val="FF0000"/>
                <w:szCs w:val="21"/>
                <w:highlight w:val="none"/>
                <w:lang w:eastAsia="zh-CN"/>
              </w:rPr>
              <w:t>发酵罐</w:t>
            </w:r>
            <w:r>
              <w:rPr>
                <w:rFonts w:hint="eastAsia"/>
                <w:color w:val="FF0000"/>
                <w:szCs w:val="21"/>
                <w:highlight w:val="none"/>
              </w:rPr>
              <w:t>清洗</w:t>
            </w:r>
            <w:r>
              <w:rPr>
                <w:rFonts w:hint="eastAsia"/>
                <w:color w:val="FF0000"/>
                <w:szCs w:val="21"/>
                <w:highlight w:val="none"/>
                <w:lang w:eastAsia="zh-CN"/>
              </w:rPr>
              <w:t>在山萸肉入罐前以及每次</w:t>
            </w:r>
            <w:r>
              <w:rPr>
                <w:rFonts w:hint="eastAsia"/>
                <w:color w:val="FF0000"/>
                <w:szCs w:val="21"/>
                <w:highlight w:val="none"/>
              </w:rPr>
              <w:t>生产周期后</w:t>
            </w:r>
            <w:r>
              <w:rPr>
                <w:rFonts w:hint="eastAsia"/>
                <w:color w:val="FF0000"/>
                <w:szCs w:val="21"/>
                <w:highlight w:val="none"/>
                <w:lang w:eastAsia="zh-CN"/>
              </w:rPr>
              <w:t>进行，其余罐体均在年末进行清洗。</w:t>
            </w:r>
            <w:r>
              <w:rPr>
                <w:rFonts w:hint="eastAsia"/>
                <w:color w:val="FF0000"/>
                <w:szCs w:val="21"/>
                <w:highlight w:val="none"/>
                <w:lang w:val="en-US" w:eastAsia="zh-CN"/>
              </w:rPr>
              <w:t>10t</w:t>
            </w:r>
            <w:r>
              <w:rPr>
                <w:rFonts w:hint="eastAsia"/>
                <w:color w:val="FF0000"/>
                <w:szCs w:val="21"/>
                <w:highlight w:val="none"/>
              </w:rPr>
              <w:t>不锈钢罐清洗水量为按</w:t>
            </w:r>
            <w:r>
              <w:rPr>
                <w:rFonts w:hint="eastAsia"/>
                <w:color w:val="FF0000"/>
                <w:szCs w:val="21"/>
                <w:highlight w:val="none"/>
                <w:lang w:val="en-US" w:eastAsia="zh-CN"/>
              </w:rPr>
              <w:t>0.2</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s="Times New Roman"/>
                <w:color w:val="FF0000"/>
                <w:sz w:val="24"/>
                <w:szCs w:val="24"/>
                <w:highlight w:val="none"/>
                <w:lang w:val="en-US" w:eastAsia="zh-CN"/>
              </w:rPr>
              <w:t>/</w:t>
            </w:r>
            <w:r>
              <w:rPr>
                <w:rFonts w:hint="eastAsia" w:ascii="Times New Roman" w:hAnsi="Times New Roman" w:eastAsia="宋体" w:cs="Times New Roman"/>
                <w:color w:val="FF0000"/>
                <w:szCs w:val="21"/>
                <w:highlight w:val="none"/>
                <w:lang w:val="en-US" w:eastAsia="zh-CN"/>
              </w:rPr>
              <w:t>个</w:t>
            </w:r>
            <w:r>
              <w:rPr>
                <w:rFonts w:hint="eastAsia"/>
                <w:color w:val="FF0000"/>
                <w:szCs w:val="21"/>
                <w:highlight w:val="none"/>
              </w:rPr>
              <w:t>计，</w:t>
            </w:r>
            <w:r>
              <w:rPr>
                <w:rFonts w:hint="eastAsia"/>
                <w:color w:val="FF0000"/>
                <w:szCs w:val="21"/>
                <w:highlight w:val="none"/>
                <w:lang w:eastAsia="zh-CN"/>
              </w:rPr>
              <w:t>其中：</w:t>
            </w:r>
            <w:r>
              <w:rPr>
                <w:rFonts w:hint="eastAsia"/>
                <w:color w:val="FF0000"/>
                <w:szCs w:val="21"/>
                <w:highlight w:val="none"/>
                <w:lang w:val="en-US" w:eastAsia="zh-CN"/>
              </w:rPr>
              <w:t>10t</w:t>
            </w:r>
            <w:r>
              <w:rPr>
                <w:rFonts w:hint="eastAsia"/>
                <w:color w:val="FF0000"/>
                <w:szCs w:val="21"/>
                <w:highlight w:val="none"/>
              </w:rPr>
              <w:t>不锈钢</w:t>
            </w:r>
            <w:r>
              <w:rPr>
                <w:rFonts w:hint="eastAsia"/>
                <w:color w:val="FF0000"/>
                <w:szCs w:val="21"/>
                <w:highlight w:val="none"/>
                <w:lang w:eastAsia="zh-CN"/>
              </w:rPr>
              <w:t>发酵</w:t>
            </w:r>
            <w:r>
              <w:rPr>
                <w:rFonts w:hint="eastAsia"/>
                <w:color w:val="FF0000"/>
                <w:szCs w:val="21"/>
                <w:highlight w:val="none"/>
              </w:rPr>
              <w:t>罐</w:t>
            </w:r>
            <w:r>
              <w:rPr>
                <w:rFonts w:hint="eastAsia"/>
                <w:color w:val="FF0000"/>
                <w:szCs w:val="21"/>
                <w:highlight w:val="none"/>
                <w:lang w:val="en-US" w:eastAsia="zh-CN"/>
              </w:rPr>
              <w:t>6</w:t>
            </w:r>
            <w:r>
              <w:rPr>
                <w:rFonts w:hint="eastAsia"/>
                <w:color w:val="FF0000"/>
                <w:szCs w:val="21"/>
                <w:highlight w:val="none"/>
              </w:rPr>
              <w:t>个，约每年清洗</w:t>
            </w:r>
            <w:r>
              <w:rPr>
                <w:rFonts w:hint="eastAsia"/>
                <w:color w:val="FF0000"/>
                <w:szCs w:val="21"/>
                <w:highlight w:val="none"/>
                <w:lang w:val="en-US" w:eastAsia="zh-CN"/>
              </w:rPr>
              <w:t>4</w:t>
            </w:r>
            <w:r>
              <w:rPr>
                <w:rFonts w:hint="eastAsia"/>
                <w:color w:val="FF0000"/>
                <w:szCs w:val="21"/>
                <w:highlight w:val="none"/>
              </w:rPr>
              <w:t>次</w:t>
            </w:r>
            <w:r>
              <w:rPr>
                <w:rFonts w:hint="eastAsia"/>
                <w:color w:val="FF0000"/>
                <w:szCs w:val="21"/>
                <w:highlight w:val="none"/>
                <w:lang w:eastAsia="zh-CN"/>
              </w:rPr>
              <w:t>；</w:t>
            </w:r>
            <w:r>
              <w:rPr>
                <w:rFonts w:hint="eastAsia"/>
                <w:color w:val="FF0000"/>
                <w:szCs w:val="21"/>
                <w:highlight w:val="none"/>
                <w:lang w:val="en-US" w:eastAsia="zh-CN"/>
              </w:rPr>
              <w:t>10t</w:t>
            </w:r>
            <w:r>
              <w:rPr>
                <w:rFonts w:hint="eastAsia"/>
                <w:color w:val="FF0000"/>
                <w:szCs w:val="21"/>
                <w:highlight w:val="none"/>
              </w:rPr>
              <w:t>不锈钢</w:t>
            </w:r>
            <w:r>
              <w:rPr>
                <w:rFonts w:hint="eastAsia"/>
                <w:color w:val="FF0000"/>
                <w:szCs w:val="21"/>
                <w:highlight w:val="none"/>
                <w:lang w:eastAsia="zh-CN"/>
              </w:rPr>
              <w:t>陈酿</w:t>
            </w:r>
            <w:r>
              <w:rPr>
                <w:rFonts w:hint="eastAsia"/>
                <w:color w:val="FF0000"/>
                <w:szCs w:val="21"/>
                <w:highlight w:val="none"/>
              </w:rPr>
              <w:t>罐</w:t>
            </w:r>
            <w:r>
              <w:rPr>
                <w:rFonts w:hint="eastAsia"/>
                <w:color w:val="FF0000"/>
                <w:szCs w:val="21"/>
                <w:highlight w:val="none"/>
                <w:lang w:val="en-US" w:eastAsia="zh-CN"/>
              </w:rPr>
              <w:t>8</w:t>
            </w:r>
            <w:r>
              <w:rPr>
                <w:rFonts w:hint="eastAsia"/>
                <w:color w:val="FF0000"/>
                <w:szCs w:val="21"/>
                <w:highlight w:val="none"/>
              </w:rPr>
              <w:t>个，约每年清洗</w:t>
            </w:r>
            <w:r>
              <w:rPr>
                <w:rFonts w:hint="eastAsia"/>
                <w:color w:val="FF0000"/>
                <w:szCs w:val="21"/>
                <w:highlight w:val="none"/>
                <w:lang w:val="en-US" w:eastAsia="zh-CN"/>
              </w:rPr>
              <w:t>1</w:t>
            </w:r>
            <w:r>
              <w:rPr>
                <w:rFonts w:hint="eastAsia"/>
                <w:color w:val="FF0000"/>
                <w:szCs w:val="21"/>
                <w:highlight w:val="none"/>
              </w:rPr>
              <w:t>次，经计算</w:t>
            </w:r>
            <w:r>
              <w:rPr>
                <w:rFonts w:hint="eastAsia"/>
                <w:color w:val="FF0000"/>
                <w:szCs w:val="21"/>
                <w:highlight w:val="none"/>
                <w:lang w:val="en-US" w:eastAsia="zh-CN"/>
              </w:rPr>
              <w:t>10</w:t>
            </w:r>
            <w:r>
              <w:rPr>
                <w:rFonts w:hint="eastAsia"/>
                <w:color w:val="FF0000"/>
                <w:szCs w:val="21"/>
                <w:highlight w:val="none"/>
              </w:rPr>
              <w:t>m³不锈钢罐清洗</w:t>
            </w:r>
            <w:r>
              <w:rPr>
                <w:rFonts w:hint="eastAsia"/>
                <w:color w:val="FF0000"/>
                <w:szCs w:val="21"/>
                <w:highlight w:val="none"/>
                <w:lang w:eastAsia="zh-CN"/>
              </w:rPr>
              <w:t>年</w:t>
            </w:r>
            <w:r>
              <w:rPr>
                <w:rFonts w:hint="eastAsia"/>
                <w:color w:val="FF0000"/>
                <w:szCs w:val="21"/>
                <w:highlight w:val="none"/>
              </w:rPr>
              <w:t>用水量为</w:t>
            </w:r>
            <w:r>
              <w:rPr>
                <w:rFonts w:hint="eastAsia"/>
                <w:color w:val="FF0000"/>
                <w:szCs w:val="21"/>
                <w:highlight w:val="none"/>
                <w:lang w:val="en-US" w:eastAsia="zh-CN"/>
              </w:rPr>
              <w:t>6.4</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Cs w:val="21"/>
                <w:highlight w:val="none"/>
              </w:rPr>
              <w:t>/a；</w:t>
            </w:r>
            <w:bookmarkEnd w:id="22"/>
            <w:bookmarkStart w:id="23" w:name="sys114212066"/>
            <w:r>
              <w:rPr>
                <w:rFonts w:hint="eastAsia"/>
                <w:color w:val="FF0000"/>
                <w:szCs w:val="21"/>
                <w:highlight w:val="none"/>
              </w:rPr>
              <w:t>2</w:t>
            </w:r>
            <w:r>
              <w:rPr>
                <w:rFonts w:hint="eastAsia"/>
                <w:color w:val="FF0000"/>
                <w:szCs w:val="21"/>
                <w:highlight w:val="none"/>
                <w:lang w:val="en-US" w:eastAsia="zh-CN"/>
              </w:rPr>
              <w:t>.5t</w:t>
            </w:r>
            <w:r>
              <w:rPr>
                <w:rFonts w:hint="eastAsia"/>
                <w:color w:val="FF0000"/>
                <w:szCs w:val="21"/>
                <w:highlight w:val="none"/>
              </w:rPr>
              <w:t>不锈钢罐每次清洗按</w:t>
            </w:r>
            <w:r>
              <w:rPr>
                <w:rFonts w:hint="eastAsia"/>
                <w:color w:val="FF0000"/>
                <w:szCs w:val="21"/>
                <w:highlight w:val="none"/>
                <w:lang w:val="en-US" w:eastAsia="zh-CN"/>
              </w:rPr>
              <w:t>0.05</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Cs w:val="21"/>
                <w:highlight w:val="none"/>
              </w:rPr>
              <w:t>/个计，2</w:t>
            </w:r>
            <w:r>
              <w:rPr>
                <w:rFonts w:hint="eastAsia"/>
                <w:color w:val="FF0000"/>
                <w:szCs w:val="21"/>
                <w:highlight w:val="none"/>
                <w:lang w:val="en-US" w:eastAsia="zh-CN"/>
              </w:rPr>
              <w:t>.5t</w:t>
            </w:r>
            <w:r>
              <w:rPr>
                <w:rFonts w:hint="eastAsia"/>
                <w:color w:val="FF0000"/>
                <w:szCs w:val="21"/>
                <w:highlight w:val="none"/>
              </w:rPr>
              <w:t>不锈钢罐</w:t>
            </w:r>
            <w:r>
              <w:rPr>
                <w:rFonts w:hint="eastAsia"/>
                <w:color w:val="FF0000"/>
                <w:szCs w:val="21"/>
                <w:highlight w:val="none"/>
                <w:lang w:val="en-US" w:eastAsia="zh-CN"/>
              </w:rPr>
              <w:t>12</w:t>
            </w:r>
            <w:r>
              <w:rPr>
                <w:rFonts w:hint="eastAsia"/>
                <w:color w:val="FF0000"/>
                <w:szCs w:val="21"/>
                <w:highlight w:val="none"/>
              </w:rPr>
              <w:t>个，</w:t>
            </w:r>
            <w:r>
              <w:rPr>
                <w:rFonts w:hint="eastAsia"/>
                <w:color w:val="FF0000"/>
                <w:szCs w:val="21"/>
                <w:highlight w:val="none"/>
                <w:lang w:eastAsia="zh-CN"/>
              </w:rPr>
              <w:t>约</w:t>
            </w:r>
            <w:r>
              <w:rPr>
                <w:rFonts w:hint="eastAsia"/>
                <w:color w:val="FF0000"/>
                <w:szCs w:val="21"/>
                <w:highlight w:val="none"/>
              </w:rPr>
              <w:t>每年清洗</w:t>
            </w:r>
            <w:r>
              <w:rPr>
                <w:rFonts w:hint="eastAsia"/>
                <w:color w:val="FF0000"/>
                <w:szCs w:val="21"/>
                <w:highlight w:val="none"/>
                <w:lang w:val="en-US" w:eastAsia="zh-CN"/>
              </w:rPr>
              <w:t>1</w:t>
            </w:r>
            <w:r>
              <w:rPr>
                <w:rFonts w:hint="eastAsia"/>
                <w:color w:val="FF0000"/>
                <w:szCs w:val="21"/>
                <w:highlight w:val="none"/>
              </w:rPr>
              <w:t>次</w:t>
            </w:r>
            <w:r>
              <w:rPr>
                <w:rFonts w:hint="eastAsia"/>
                <w:color w:val="FF0000"/>
                <w:szCs w:val="21"/>
                <w:highlight w:val="none"/>
                <w:lang w:eastAsia="zh-CN"/>
              </w:rPr>
              <w:t>，</w:t>
            </w:r>
            <w:r>
              <w:rPr>
                <w:rFonts w:hint="eastAsia"/>
                <w:color w:val="FF0000"/>
                <w:szCs w:val="21"/>
                <w:highlight w:val="none"/>
              </w:rPr>
              <w:t>经计算</w:t>
            </w:r>
            <w:r>
              <w:rPr>
                <w:rFonts w:hint="eastAsia"/>
                <w:color w:val="FF0000"/>
                <w:szCs w:val="21"/>
                <w:highlight w:val="none"/>
                <w:lang w:val="en-US" w:eastAsia="zh-CN"/>
              </w:rPr>
              <w:t>2.5t</w:t>
            </w:r>
            <w:r>
              <w:rPr>
                <w:rFonts w:hint="eastAsia"/>
                <w:color w:val="FF0000"/>
                <w:szCs w:val="21"/>
                <w:highlight w:val="none"/>
              </w:rPr>
              <w:t>不锈钢罐清洗</w:t>
            </w:r>
            <w:r>
              <w:rPr>
                <w:rFonts w:hint="eastAsia"/>
                <w:color w:val="FF0000"/>
                <w:szCs w:val="21"/>
                <w:highlight w:val="none"/>
                <w:lang w:eastAsia="zh-CN"/>
              </w:rPr>
              <w:t>年</w:t>
            </w:r>
            <w:r>
              <w:rPr>
                <w:rFonts w:hint="eastAsia"/>
                <w:color w:val="FF0000"/>
                <w:szCs w:val="21"/>
                <w:highlight w:val="none"/>
              </w:rPr>
              <w:t>用水量为</w:t>
            </w:r>
            <w:r>
              <w:rPr>
                <w:rFonts w:hint="eastAsia"/>
                <w:color w:val="FF0000"/>
                <w:szCs w:val="21"/>
                <w:highlight w:val="none"/>
                <w:lang w:val="en-US" w:eastAsia="zh-CN"/>
              </w:rPr>
              <w:t>3</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Cs w:val="21"/>
                <w:highlight w:val="none"/>
              </w:rPr>
              <w:t>/a；2</w:t>
            </w:r>
            <w:r>
              <w:rPr>
                <w:rFonts w:hint="eastAsia"/>
                <w:color w:val="FF0000"/>
                <w:szCs w:val="21"/>
                <w:highlight w:val="none"/>
                <w:lang w:val="en-US" w:eastAsia="zh-CN"/>
              </w:rPr>
              <w:t>t</w:t>
            </w:r>
            <w:r>
              <w:rPr>
                <w:rFonts w:hint="eastAsia"/>
                <w:color w:val="FF0000"/>
                <w:szCs w:val="21"/>
                <w:highlight w:val="none"/>
              </w:rPr>
              <w:t>不锈钢罐每次清洗按</w:t>
            </w:r>
            <w:r>
              <w:rPr>
                <w:rFonts w:hint="eastAsia"/>
                <w:color w:val="FF0000"/>
                <w:szCs w:val="21"/>
                <w:highlight w:val="none"/>
                <w:lang w:val="en-US" w:eastAsia="zh-CN"/>
              </w:rPr>
              <w:t>0.04</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Cs w:val="21"/>
                <w:highlight w:val="none"/>
              </w:rPr>
              <w:t>/个计，</w:t>
            </w:r>
            <w:r>
              <w:rPr>
                <w:rFonts w:hint="eastAsia"/>
                <w:color w:val="FF0000"/>
                <w:szCs w:val="21"/>
                <w:highlight w:val="none"/>
                <w:lang w:eastAsia="zh-CN"/>
              </w:rPr>
              <w:t>其中：</w:t>
            </w:r>
            <w:r>
              <w:rPr>
                <w:rFonts w:hint="eastAsia"/>
                <w:color w:val="FF0000"/>
                <w:szCs w:val="21"/>
                <w:highlight w:val="none"/>
              </w:rPr>
              <w:t>2</w:t>
            </w:r>
            <w:r>
              <w:rPr>
                <w:rFonts w:hint="eastAsia"/>
                <w:color w:val="FF0000"/>
                <w:szCs w:val="21"/>
                <w:highlight w:val="none"/>
                <w:lang w:val="en-US" w:eastAsia="zh-CN"/>
              </w:rPr>
              <w:t>t</w:t>
            </w:r>
            <w:r>
              <w:rPr>
                <w:rFonts w:hint="eastAsia"/>
                <w:color w:val="FF0000"/>
                <w:szCs w:val="21"/>
                <w:highlight w:val="none"/>
              </w:rPr>
              <w:t>不锈钢</w:t>
            </w:r>
            <w:r>
              <w:rPr>
                <w:rFonts w:hint="eastAsia"/>
                <w:color w:val="FF0000"/>
                <w:szCs w:val="21"/>
                <w:highlight w:val="none"/>
                <w:lang w:eastAsia="zh-CN"/>
              </w:rPr>
              <w:t>发酵</w:t>
            </w:r>
            <w:r>
              <w:rPr>
                <w:rFonts w:hint="eastAsia"/>
                <w:color w:val="FF0000"/>
                <w:szCs w:val="21"/>
                <w:highlight w:val="none"/>
              </w:rPr>
              <w:t>罐</w:t>
            </w:r>
            <w:r>
              <w:rPr>
                <w:rFonts w:hint="eastAsia"/>
                <w:color w:val="FF0000"/>
                <w:szCs w:val="21"/>
                <w:highlight w:val="none"/>
                <w:lang w:val="en-US" w:eastAsia="zh-CN"/>
              </w:rPr>
              <w:t>4</w:t>
            </w:r>
            <w:r>
              <w:rPr>
                <w:rFonts w:hint="eastAsia"/>
                <w:color w:val="FF0000"/>
                <w:szCs w:val="21"/>
                <w:highlight w:val="none"/>
              </w:rPr>
              <w:t>个，</w:t>
            </w:r>
            <w:r>
              <w:rPr>
                <w:rFonts w:hint="eastAsia"/>
                <w:color w:val="FF0000"/>
                <w:szCs w:val="21"/>
                <w:highlight w:val="none"/>
                <w:lang w:eastAsia="zh-CN"/>
              </w:rPr>
              <w:t>约</w:t>
            </w:r>
            <w:r>
              <w:rPr>
                <w:rFonts w:hint="eastAsia"/>
                <w:color w:val="FF0000"/>
                <w:szCs w:val="21"/>
                <w:highlight w:val="none"/>
              </w:rPr>
              <w:t>每年清洗</w:t>
            </w:r>
            <w:r>
              <w:rPr>
                <w:rFonts w:hint="eastAsia"/>
                <w:color w:val="FF0000"/>
                <w:szCs w:val="21"/>
                <w:highlight w:val="none"/>
                <w:lang w:val="en-US" w:eastAsia="zh-CN"/>
              </w:rPr>
              <w:t>4</w:t>
            </w:r>
            <w:r>
              <w:rPr>
                <w:rFonts w:hint="eastAsia"/>
                <w:color w:val="FF0000"/>
                <w:szCs w:val="21"/>
                <w:highlight w:val="none"/>
              </w:rPr>
              <w:t>次</w:t>
            </w:r>
            <w:r>
              <w:rPr>
                <w:rFonts w:hint="eastAsia"/>
                <w:color w:val="FF0000"/>
                <w:szCs w:val="21"/>
                <w:highlight w:val="none"/>
                <w:lang w:eastAsia="zh-CN"/>
              </w:rPr>
              <w:t>；其余</w:t>
            </w:r>
            <w:r>
              <w:rPr>
                <w:rFonts w:hint="eastAsia"/>
                <w:color w:val="FF0000"/>
                <w:szCs w:val="21"/>
                <w:highlight w:val="none"/>
                <w:lang w:val="en-US" w:eastAsia="zh-CN"/>
              </w:rPr>
              <w:t>2t</w:t>
            </w:r>
            <w:r>
              <w:rPr>
                <w:rFonts w:hint="eastAsia"/>
                <w:color w:val="FF0000"/>
                <w:szCs w:val="21"/>
                <w:highlight w:val="none"/>
              </w:rPr>
              <w:t>不锈钢罐</w:t>
            </w:r>
            <w:r>
              <w:rPr>
                <w:rFonts w:hint="eastAsia"/>
                <w:color w:val="FF0000"/>
                <w:szCs w:val="21"/>
                <w:highlight w:val="none"/>
                <w:lang w:val="en-US" w:eastAsia="zh-CN"/>
              </w:rPr>
              <w:t>4</w:t>
            </w:r>
            <w:r>
              <w:rPr>
                <w:rFonts w:hint="eastAsia"/>
                <w:color w:val="FF0000"/>
                <w:szCs w:val="21"/>
                <w:highlight w:val="none"/>
              </w:rPr>
              <w:t>个</w:t>
            </w:r>
            <w:r>
              <w:rPr>
                <w:rFonts w:hint="eastAsia"/>
                <w:color w:val="FF0000"/>
                <w:szCs w:val="21"/>
                <w:highlight w:val="none"/>
                <w:lang w:eastAsia="zh-CN"/>
              </w:rPr>
              <w:t>，</w:t>
            </w:r>
            <w:r>
              <w:rPr>
                <w:rFonts w:hint="eastAsia"/>
                <w:color w:val="FF0000"/>
                <w:szCs w:val="21"/>
                <w:highlight w:val="none"/>
              </w:rPr>
              <w:t>约每年清洗</w:t>
            </w:r>
            <w:r>
              <w:rPr>
                <w:rFonts w:hint="eastAsia"/>
                <w:color w:val="FF0000"/>
                <w:szCs w:val="21"/>
                <w:highlight w:val="none"/>
                <w:lang w:val="en-US" w:eastAsia="zh-CN"/>
              </w:rPr>
              <w:t>1</w:t>
            </w:r>
            <w:r>
              <w:rPr>
                <w:rFonts w:hint="eastAsia"/>
                <w:color w:val="FF0000"/>
                <w:szCs w:val="21"/>
                <w:highlight w:val="none"/>
              </w:rPr>
              <w:t>次</w:t>
            </w:r>
            <w:r>
              <w:rPr>
                <w:rFonts w:hint="eastAsia"/>
                <w:color w:val="FF0000"/>
                <w:szCs w:val="21"/>
                <w:highlight w:val="none"/>
                <w:lang w:eastAsia="zh-CN"/>
              </w:rPr>
              <w:t>，</w:t>
            </w:r>
            <w:r>
              <w:rPr>
                <w:rFonts w:hint="eastAsia"/>
                <w:color w:val="FF0000"/>
                <w:szCs w:val="21"/>
                <w:highlight w:val="none"/>
              </w:rPr>
              <w:t>经计算</w:t>
            </w:r>
            <w:r>
              <w:rPr>
                <w:rFonts w:hint="eastAsia"/>
                <w:color w:val="FF0000"/>
                <w:szCs w:val="21"/>
                <w:highlight w:val="none"/>
                <w:lang w:val="en-US" w:eastAsia="zh-CN"/>
              </w:rPr>
              <w:t>2t</w:t>
            </w:r>
            <w:r>
              <w:rPr>
                <w:rFonts w:hint="eastAsia"/>
                <w:color w:val="FF0000"/>
                <w:szCs w:val="21"/>
                <w:highlight w:val="none"/>
              </w:rPr>
              <w:t>不锈钢罐清洗</w:t>
            </w:r>
            <w:r>
              <w:rPr>
                <w:rFonts w:hint="eastAsia"/>
                <w:color w:val="FF0000"/>
                <w:szCs w:val="21"/>
                <w:highlight w:val="none"/>
                <w:lang w:eastAsia="zh-CN"/>
              </w:rPr>
              <w:t>年</w:t>
            </w:r>
            <w:r>
              <w:rPr>
                <w:rFonts w:hint="eastAsia"/>
                <w:color w:val="FF0000"/>
                <w:szCs w:val="21"/>
                <w:highlight w:val="none"/>
              </w:rPr>
              <w:t>用水量为</w:t>
            </w:r>
            <w:r>
              <w:rPr>
                <w:rFonts w:hint="eastAsia"/>
                <w:color w:val="FF0000"/>
                <w:szCs w:val="21"/>
                <w:highlight w:val="none"/>
                <w:lang w:val="en-US" w:eastAsia="zh-CN"/>
              </w:rPr>
              <w:t>0.8</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Cs w:val="21"/>
                <w:highlight w:val="none"/>
              </w:rPr>
              <w:t>/a</w:t>
            </w:r>
            <w:bookmarkEnd w:id="23"/>
            <w:bookmarkStart w:id="24" w:name="sys114218666"/>
            <w:r>
              <w:rPr>
                <w:rFonts w:hint="eastAsia"/>
                <w:color w:val="FF0000"/>
                <w:szCs w:val="21"/>
                <w:highlight w:val="none"/>
              </w:rPr>
              <w:t>。</w:t>
            </w:r>
            <w:bookmarkEnd w:id="24"/>
            <w:bookmarkStart w:id="25" w:name="sys114225237"/>
            <w:r>
              <w:rPr>
                <w:rFonts w:hint="eastAsia"/>
                <w:color w:val="FF0000"/>
                <w:szCs w:val="21"/>
                <w:highlight w:val="none"/>
              </w:rPr>
              <w:t>除罐体外设备清洗用水每次使用量为</w:t>
            </w:r>
            <w:r>
              <w:rPr>
                <w:rFonts w:hint="eastAsia"/>
                <w:color w:val="FF0000"/>
                <w:szCs w:val="21"/>
                <w:highlight w:val="none"/>
                <w:lang w:val="en-US" w:eastAsia="zh-CN"/>
              </w:rPr>
              <w:t>2</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Cs w:val="21"/>
                <w:highlight w:val="none"/>
              </w:rPr>
              <w:t>/次，</w:t>
            </w:r>
            <w:r>
              <w:rPr>
                <w:rFonts w:hint="eastAsia"/>
                <w:color w:val="FF0000"/>
                <w:szCs w:val="21"/>
                <w:highlight w:val="none"/>
                <w:lang w:eastAsia="zh-CN"/>
              </w:rPr>
              <w:t>每年</w:t>
            </w:r>
            <w:r>
              <w:rPr>
                <w:rFonts w:hint="eastAsia"/>
                <w:color w:val="FF0000"/>
                <w:szCs w:val="21"/>
                <w:highlight w:val="none"/>
                <w:lang w:val="en-US" w:eastAsia="zh-CN"/>
              </w:rPr>
              <w:t>3次，</w:t>
            </w:r>
            <w:r>
              <w:rPr>
                <w:rFonts w:hint="eastAsia"/>
                <w:color w:val="FF0000"/>
                <w:szCs w:val="21"/>
                <w:highlight w:val="none"/>
              </w:rPr>
              <w:t>经计算设备清洗</w:t>
            </w:r>
            <w:r>
              <w:rPr>
                <w:rFonts w:hint="eastAsia"/>
                <w:color w:val="FF0000"/>
                <w:szCs w:val="21"/>
                <w:highlight w:val="none"/>
                <w:lang w:eastAsia="zh-CN"/>
              </w:rPr>
              <w:t>年</w:t>
            </w:r>
            <w:r>
              <w:rPr>
                <w:rFonts w:hint="eastAsia"/>
                <w:color w:val="FF0000"/>
                <w:szCs w:val="21"/>
                <w:highlight w:val="none"/>
              </w:rPr>
              <w:t>用水量为</w:t>
            </w:r>
            <w:r>
              <w:rPr>
                <w:rFonts w:hint="eastAsia"/>
                <w:color w:val="FF0000"/>
                <w:szCs w:val="21"/>
                <w:highlight w:val="none"/>
                <w:lang w:val="en-US" w:eastAsia="zh-CN"/>
              </w:rPr>
              <w:t>6</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Cs w:val="21"/>
                <w:highlight w:val="none"/>
              </w:rPr>
              <w:t>/a。</w:t>
            </w:r>
            <w:bookmarkEnd w:id="25"/>
          </w:p>
          <w:p w14:paraId="0594DA8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color w:val="FF0000"/>
                <w:sz w:val="24"/>
                <w:lang w:val="en-US" w:eastAsia="zh-CN"/>
              </w:rPr>
            </w:pPr>
            <w:r>
              <w:rPr>
                <w:rFonts w:hint="eastAsia"/>
                <w:color w:val="FF0000"/>
                <w:szCs w:val="21"/>
                <w:highlight w:val="none"/>
              </w:rPr>
              <w:t>综上所述，本项目设备清洗总</w:t>
            </w:r>
            <w:r>
              <w:rPr>
                <w:rFonts w:hint="eastAsia"/>
                <w:color w:val="FF0000"/>
                <w:szCs w:val="21"/>
                <w:highlight w:val="none"/>
                <w:lang w:eastAsia="zh-CN"/>
              </w:rPr>
              <w:t>年</w:t>
            </w:r>
            <w:r>
              <w:rPr>
                <w:rFonts w:hint="eastAsia"/>
                <w:color w:val="FF0000"/>
                <w:szCs w:val="21"/>
                <w:highlight w:val="none"/>
              </w:rPr>
              <w:t>用水量为</w:t>
            </w:r>
            <w:r>
              <w:rPr>
                <w:rFonts w:hint="eastAsia"/>
                <w:color w:val="FF0000"/>
                <w:szCs w:val="21"/>
                <w:highlight w:val="none"/>
                <w:lang w:val="en-US" w:eastAsia="zh-CN"/>
              </w:rPr>
              <w:t>16.2</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Cs w:val="21"/>
                <w:highlight w:val="none"/>
              </w:rPr>
              <w:t>/a。</w:t>
            </w:r>
            <w:r>
              <w:rPr>
                <w:rFonts w:hint="eastAsia"/>
                <w:color w:val="FF0000"/>
                <w:szCs w:val="21"/>
                <w:highlight w:val="none"/>
                <w:lang w:eastAsia="zh-CN"/>
              </w:rPr>
              <w:t>设备清洗废水</w:t>
            </w:r>
            <w:r>
              <w:rPr>
                <w:rFonts w:hint="eastAsia"/>
                <w:color w:val="FF0000"/>
                <w:sz w:val="24"/>
                <w:highlight w:val="none"/>
                <w:lang w:val="en-US" w:eastAsia="zh-CN"/>
              </w:rPr>
              <w:t>损耗量以20%计，则废水排放量为12.96</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 w:val="24"/>
                <w:highlight w:val="none"/>
                <w:lang w:val="en-US" w:eastAsia="zh-CN"/>
              </w:rPr>
              <w:t>/a。</w:t>
            </w:r>
          </w:p>
          <w:p w14:paraId="313134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FF0000"/>
                <w:lang w:val="en-US" w:eastAsia="zh-CN"/>
              </w:rPr>
            </w:pPr>
            <w:r>
              <w:rPr>
                <w:rFonts w:hint="eastAsia"/>
                <w:color w:val="FF0000"/>
                <w:sz w:val="24"/>
                <w:lang w:val="en-US" w:eastAsia="zh-CN"/>
              </w:rPr>
              <w:t>②空瓶清洗</w:t>
            </w:r>
            <w:r>
              <w:rPr>
                <w:rFonts w:hint="eastAsia"/>
                <w:color w:val="FF0000"/>
                <w:sz w:val="24"/>
                <w:lang w:eastAsia="zh-CN"/>
              </w:rPr>
              <w:t>用、排水</w:t>
            </w:r>
            <w:r>
              <w:rPr>
                <w:rFonts w:hint="eastAsia"/>
                <w:color w:val="FF0000"/>
                <w:sz w:val="24"/>
                <w:lang w:val="en-US" w:eastAsia="zh-CN"/>
              </w:rPr>
              <w:t>和发酵用水</w:t>
            </w:r>
          </w:p>
          <w:p w14:paraId="5A78C6F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color w:val="FF0000"/>
                <w:szCs w:val="21"/>
                <w:lang w:eastAsia="zh-CN"/>
              </w:rPr>
            </w:pPr>
            <w:r>
              <w:rPr>
                <w:rFonts w:hint="eastAsia" w:ascii="Times New Roman" w:hAnsi="Times New Roman" w:eastAsia="宋体" w:cs="Times New Roman"/>
                <w:color w:val="FF0000"/>
                <w:szCs w:val="21"/>
                <w:lang w:val="en-US" w:eastAsia="zh-CN"/>
              </w:rPr>
              <w:t>本项目使用纯水对外购的玻璃瓶进行清洗</w:t>
            </w:r>
            <w:r>
              <w:rPr>
                <w:rFonts w:hint="eastAsia" w:cs="Times New Roman"/>
                <w:color w:val="FF0000"/>
                <w:szCs w:val="21"/>
                <w:lang w:val="en-US" w:eastAsia="zh-CN"/>
              </w:rPr>
              <w:t>和进行发酵</w:t>
            </w:r>
            <w:r>
              <w:rPr>
                <w:rFonts w:hint="eastAsia" w:ascii="Times New Roman" w:hAnsi="Times New Roman" w:eastAsia="宋体" w:cs="Times New Roman"/>
                <w:color w:val="FF0000"/>
                <w:szCs w:val="21"/>
                <w:lang w:val="en-US" w:eastAsia="zh-CN"/>
              </w:rPr>
              <w:t>。根据建设单位提供资料，单只500mL玻璃瓶清洗取水量取0.3L/瓶</w:t>
            </w:r>
            <w:r>
              <w:rPr>
                <w:rFonts w:hint="eastAsia" w:cs="Times New Roman"/>
                <w:color w:val="FF0000"/>
                <w:szCs w:val="21"/>
                <w:lang w:val="en-US" w:eastAsia="zh-CN"/>
              </w:rPr>
              <w:t>，本</w:t>
            </w:r>
            <w:r>
              <w:rPr>
                <w:rFonts w:hint="eastAsia" w:ascii="Times New Roman" w:hAnsi="Times New Roman" w:eastAsia="宋体" w:cs="Times New Roman"/>
                <w:color w:val="FF0000"/>
                <w:szCs w:val="21"/>
                <w:lang w:val="en-US" w:eastAsia="zh-CN"/>
              </w:rPr>
              <w:t>项目年产</w:t>
            </w:r>
            <w:r>
              <w:rPr>
                <w:rFonts w:hint="eastAsia" w:cs="Times New Roman"/>
                <w:color w:val="FF0000"/>
                <w:szCs w:val="21"/>
                <w:lang w:val="en-US" w:eastAsia="zh-CN"/>
              </w:rPr>
              <w:t>山茱萸酒</w:t>
            </w:r>
            <w:r>
              <w:rPr>
                <w:rFonts w:hint="eastAsia" w:ascii="Times New Roman" w:hAnsi="Times New Roman" w:eastAsia="宋体" w:cs="Times New Roman"/>
                <w:color w:val="FF0000"/>
                <w:szCs w:val="21"/>
                <w:lang w:val="en-US" w:eastAsia="zh-CN"/>
              </w:rPr>
              <w:t>200t，折合40万瓶，</w:t>
            </w:r>
            <w:r>
              <w:rPr>
                <w:rFonts w:hint="eastAsia" w:cs="Times New Roman"/>
                <w:color w:val="FF0000"/>
                <w:szCs w:val="21"/>
                <w:lang w:val="en-US" w:eastAsia="zh-CN"/>
              </w:rPr>
              <w:t>则</w:t>
            </w:r>
            <w:r>
              <w:rPr>
                <w:rFonts w:hint="eastAsia" w:ascii="Times New Roman" w:hAnsi="Times New Roman" w:eastAsia="宋体" w:cs="Times New Roman"/>
                <w:color w:val="FF0000"/>
                <w:szCs w:val="21"/>
                <w:lang w:val="en-US" w:eastAsia="zh-CN"/>
              </w:rPr>
              <w:t>年洗瓶</w:t>
            </w:r>
            <w:r>
              <w:rPr>
                <w:rFonts w:hint="eastAsia" w:cs="Times New Roman"/>
                <w:color w:val="FF0000"/>
                <w:szCs w:val="21"/>
                <w:lang w:val="en-US" w:eastAsia="zh-CN"/>
              </w:rPr>
              <w:t>用</w:t>
            </w:r>
            <w:r>
              <w:rPr>
                <w:rFonts w:hint="eastAsia" w:ascii="Times New Roman" w:hAnsi="Times New Roman" w:eastAsia="宋体" w:cs="Times New Roman"/>
                <w:color w:val="FF0000"/>
                <w:szCs w:val="21"/>
                <w:lang w:val="en-US" w:eastAsia="zh-CN"/>
              </w:rPr>
              <w:t>水量</w:t>
            </w:r>
            <w:r>
              <w:rPr>
                <w:rFonts w:hint="eastAsia" w:cs="Times New Roman"/>
                <w:color w:val="FF0000"/>
                <w:szCs w:val="21"/>
                <w:lang w:val="en-US" w:eastAsia="zh-CN"/>
              </w:rPr>
              <w:t>为</w:t>
            </w:r>
            <w:r>
              <w:rPr>
                <w:rFonts w:hint="eastAsia" w:ascii="Times New Roman" w:hAnsi="Times New Roman" w:eastAsia="宋体" w:cs="Times New Roman"/>
                <w:color w:val="FF0000"/>
                <w:szCs w:val="21"/>
                <w:lang w:val="en-US" w:eastAsia="zh-CN"/>
              </w:rPr>
              <w:t>120</w:t>
            </w:r>
            <w:r>
              <w:rPr>
                <w:rFonts w:hint="eastAsia" w:cs="Times New Roman"/>
                <w:color w:val="FF0000"/>
                <w:sz w:val="24"/>
                <w:szCs w:val="24"/>
                <w:lang w:val="en-US" w:eastAsia="zh-CN"/>
              </w:rPr>
              <w:t>m</w:t>
            </w:r>
            <w:r>
              <w:rPr>
                <w:rFonts w:hint="eastAsia" w:cs="Times New Roman"/>
                <w:color w:val="FF0000"/>
                <w:sz w:val="24"/>
                <w:szCs w:val="24"/>
                <w:vertAlign w:val="superscript"/>
                <w:lang w:val="en-US" w:eastAsia="zh-CN"/>
              </w:rPr>
              <w:t>3</w:t>
            </w:r>
            <w:r>
              <w:rPr>
                <w:rFonts w:hint="eastAsia"/>
                <w:color w:val="FF0000"/>
                <w:szCs w:val="21"/>
              </w:rPr>
              <w:t>/a</w:t>
            </w:r>
            <w:r>
              <w:rPr>
                <w:rFonts w:hint="eastAsia" w:cs="Times New Roman"/>
                <w:color w:val="FF0000"/>
                <w:szCs w:val="21"/>
                <w:lang w:val="en-US" w:eastAsia="zh-CN"/>
              </w:rPr>
              <w:t>；发酵周期为90天，年工作时间270天，发酵3次，每次用水量约53.67</w:t>
            </w:r>
            <w:r>
              <w:rPr>
                <w:rFonts w:hint="eastAsia" w:cs="Times New Roman"/>
                <w:color w:val="FF0000"/>
                <w:sz w:val="24"/>
                <w:szCs w:val="24"/>
                <w:lang w:val="en-US" w:eastAsia="zh-CN"/>
              </w:rPr>
              <w:t>m</w:t>
            </w:r>
            <w:r>
              <w:rPr>
                <w:rFonts w:hint="eastAsia" w:cs="Times New Roman"/>
                <w:color w:val="FF0000"/>
                <w:sz w:val="24"/>
                <w:szCs w:val="24"/>
                <w:vertAlign w:val="superscript"/>
                <w:lang w:val="en-US" w:eastAsia="zh-CN"/>
              </w:rPr>
              <w:t>3</w:t>
            </w:r>
            <w:r>
              <w:rPr>
                <w:rFonts w:hint="eastAsia"/>
                <w:color w:val="FF0000"/>
                <w:szCs w:val="21"/>
                <w:lang w:eastAsia="zh-CN"/>
              </w:rPr>
              <w:t>，则</w:t>
            </w:r>
            <w:r>
              <w:rPr>
                <w:rFonts w:hint="eastAsia" w:cs="Times New Roman"/>
                <w:color w:val="FF0000"/>
                <w:szCs w:val="21"/>
                <w:lang w:val="en-US" w:eastAsia="zh-CN"/>
              </w:rPr>
              <w:t>年发酵用水量为161</w:t>
            </w:r>
            <w:r>
              <w:rPr>
                <w:rFonts w:hint="eastAsia" w:cs="Times New Roman"/>
                <w:color w:val="FF0000"/>
                <w:sz w:val="24"/>
                <w:szCs w:val="24"/>
                <w:lang w:val="en-US" w:eastAsia="zh-CN"/>
              </w:rPr>
              <w:t>m</w:t>
            </w:r>
            <w:r>
              <w:rPr>
                <w:rFonts w:hint="eastAsia" w:cs="Times New Roman"/>
                <w:color w:val="FF0000"/>
                <w:sz w:val="24"/>
                <w:szCs w:val="24"/>
                <w:vertAlign w:val="superscript"/>
                <w:lang w:val="en-US" w:eastAsia="zh-CN"/>
              </w:rPr>
              <w:t>3</w:t>
            </w:r>
            <w:r>
              <w:rPr>
                <w:rFonts w:hint="eastAsia"/>
                <w:color w:val="FF0000"/>
                <w:szCs w:val="21"/>
              </w:rPr>
              <w:t>/a</w:t>
            </w:r>
            <w:r>
              <w:rPr>
                <w:rFonts w:hint="eastAsia"/>
                <w:color w:val="FF0000"/>
                <w:szCs w:val="21"/>
                <w:lang w:eastAsia="zh-CN"/>
              </w:rPr>
              <w:t>。</w:t>
            </w:r>
          </w:p>
          <w:p w14:paraId="53BD9AF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eastAsia="宋体"/>
                <w:color w:val="FF0000"/>
                <w:szCs w:val="21"/>
                <w:lang w:val="en-US" w:eastAsia="zh-CN"/>
              </w:rPr>
            </w:pPr>
            <w:r>
              <w:rPr>
                <w:rFonts w:hint="eastAsia"/>
                <w:color w:val="FF0000"/>
                <w:szCs w:val="21"/>
              </w:rPr>
              <w:t>综上所述，本项目</w:t>
            </w:r>
            <w:r>
              <w:rPr>
                <w:rFonts w:hint="eastAsia"/>
                <w:color w:val="FF0000"/>
                <w:szCs w:val="21"/>
                <w:lang w:eastAsia="zh-CN"/>
              </w:rPr>
              <w:t>纯</w:t>
            </w:r>
            <w:r>
              <w:rPr>
                <w:rFonts w:hint="eastAsia"/>
                <w:color w:val="FF0000"/>
                <w:szCs w:val="21"/>
                <w:highlight w:val="none"/>
                <w:lang w:eastAsia="zh-CN"/>
              </w:rPr>
              <w:t>水</w:t>
            </w:r>
            <w:r>
              <w:rPr>
                <w:rFonts w:hint="eastAsia"/>
                <w:color w:val="FF0000"/>
                <w:szCs w:val="21"/>
                <w:highlight w:val="none"/>
              </w:rPr>
              <w:t>总</w:t>
            </w:r>
            <w:r>
              <w:rPr>
                <w:rFonts w:hint="eastAsia"/>
                <w:color w:val="FF0000"/>
                <w:szCs w:val="21"/>
                <w:highlight w:val="none"/>
                <w:lang w:eastAsia="zh-CN"/>
              </w:rPr>
              <w:t>年</w:t>
            </w:r>
            <w:r>
              <w:rPr>
                <w:rFonts w:hint="eastAsia"/>
                <w:color w:val="FF0000"/>
                <w:szCs w:val="21"/>
                <w:highlight w:val="none"/>
              </w:rPr>
              <w:t>用水量为</w:t>
            </w:r>
            <w:r>
              <w:rPr>
                <w:rFonts w:hint="eastAsia"/>
                <w:color w:val="FF0000"/>
                <w:szCs w:val="21"/>
                <w:highlight w:val="none"/>
                <w:lang w:val="en-US" w:eastAsia="zh-CN"/>
              </w:rPr>
              <w:t>281</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Cs w:val="21"/>
                <w:highlight w:val="none"/>
              </w:rPr>
              <w:t>/a。</w:t>
            </w:r>
            <w:r>
              <w:rPr>
                <w:rFonts w:hint="eastAsia"/>
                <w:color w:val="FF0000"/>
                <w:szCs w:val="21"/>
                <w:highlight w:val="none"/>
                <w:lang w:eastAsia="zh-CN"/>
              </w:rPr>
              <w:t>其中，发酵用水全部进入产品，空瓶清洗废水损耗量以</w:t>
            </w:r>
            <w:r>
              <w:rPr>
                <w:rFonts w:hint="eastAsia"/>
                <w:color w:val="FF0000"/>
                <w:szCs w:val="21"/>
                <w:highlight w:val="none"/>
                <w:lang w:val="en-US" w:eastAsia="zh-CN"/>
              </w:rPr>
              <w:t>20%计，则</w:t>
            </w:r>
            <w:r>
              <w:rPr>
                <w:rFonts w:hint="eastAsia"/>
                <w:color w:val="FF0000"/>
                <w:sz w:val="24"/>
                <w:lang w:val="en-US" w:eastAsia="zh-CN"/>
              </w:rPr>
              <w:t>空瓶清洗废水排放量为96</w:t>
            </w:r>
            <w:r>
              <w:rPr>
                <w:rFonts w:hint="eastAsia" w:cs="Times New Roman"/>
                <w:color w:val="FF0000"/>
                <w:sz w:val="24"/>
                <w:szCs w:val="24"/>
                <w:lang w:val="en-US" w:eastAsia="zh-CN"/>
              </w:rPr>
              <w:t>m</w:t>
            </w:r>
            <w:r>
              <w:rPr>
                <w:rFonts w:hint="eastAsia" w:cs="Times New Roman"/>
                <w:color w:val="FF0000"/>
                <w:sz w:val="24"/>
                <w:szCs w:val="24"/>
                <w:vertAlign w:val="superscript"/>
                <w:lang w:val="en-US" w:eastAsia="zh-CN"/>
              </w:rPr>
              <w:t>3</w:t>
            </w:r>
            <w:r>
              <w:rPr>
                <w:rFonts w:hint="eastAsia"/>
                <w:color w:val="FF0000"/>
                <w:szCs w:val="21"/>
              </w:rPr>
              <w:t>/a</w:t>
            </w:r>
            <w:r>
              <w:rPr>
                <w:rFonts w:hint="eastAsia"/>
                <w:color w:val="FF0000"/>
                <w:szCs w:val="21"/>
                <w:lang w:eastAsia="zh-CN"/>
              </w:rPr>
              <w:t>。</w:t>
            </w:r>
          </w:p>
          <w:p w14:paraId="0DD362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FF0000"/>
                <w:sz w:val="24"/>
                <w:lang w:eastAsia="zh-CN"/>
              </w:rPr>
            </w:pPr>
            <w:r>
              <w:rPr>
                <w:rFonts w:hint="eastAsia"/>
                <w:color w:val="FF0000"/>
                <w:sz w:val="24"/>
                <w:lang w:val="en-US" w:eastAsia="zh-CN"/>
              </w:rPr>
              <w:t>③化验</w:t>
            </w:r>
            <w:r>
              <w:rPr>
                <w:rFonts w:hint="eastAsia"/>
                <w:color w:val="FF0000"/>
                <w:sz w:val="24"/>
                <w:lang w:eastAsia="zh-CN"/>
              </w:rPr>
              <w:t>用、排水</w:t>
            </w:r>
          </w:p>
          <w:p w14:paraId="646B3B8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lang w:val="en-US" w:eastAsia="zh-CN"/>
              </w:rPr>
            </w:pPr>
            <w:r>
              <w:rPr>
                <w:rFonts w:hint="eastAsia"/>
                <w:color w:val="FF0000"/>
                <w:sz w:val="24"/>
                <w:lang w:val="en-US" w:eastAsia="zh-CN"/>
              </w:rPr>
              <w:t>项目化验主要涉及发酵环节对糖度、酒精度检验以及调配环节需要对酒精总酸、总糖、酒精度等进行检验，本项目化验用水量约为8</w:t>
            </w:r>
            <w:r>
              <w:rPr>
                <w:rFonts w:hint="eastAsia" w:cs="Times New Roman"/>
                <w:color w:val="FF0000"/>
                <w:sz w:val="24"/>
                <w:szCs w:val="24"/>
                <w:lang w:val="en-US" w:eastAsia="zh-CN"/>
              </w:rPr>
              <w:t>m</w:t>
            </w:r>
            <w:r>
              <w:rPr>
                <w:rFonts w:hint="eastAsia" w:cs="Times New Roman"/>
                <w:color w:val="FF0000"/>
                <w:sz w:val="24"/>
                <w:szCs w:val="24"/>
                <w:vertAlign w:val="superscript"/>
                <w:lang w:val="en-US" w:eastAsia="zh-CN"/>
              </w:rPr>
              <w:t>3</w:t>
            </w:r>
            <w:r>
              <w:rPr>
                <w:rFonts w:hint="eastAsia"/>
                <w:color w:val="FF0000"/>
                <w:sz w:val="24"/>
                <w:lang w:val="en-US" w:eastAsia="zh-CN"/>
              </w:rPr>
              <w:t>/a，包括试验用水3</w:t>
            </w:r>
            <w:r>
              <w:rPr>
                <w:rFonts w:hint="eastAsia" w:cs="Times New Roman"/>
                <w:color w:val="FF0000"/>
                <w:sz w:val="24"/>
                <w:szCs w:val="24"/>
                <w:lang w:val="en-US" w:eastAsia="zh-CN"/>
              </w:rPr>
              <w:t>m</w:t>
            </w:r>
            <w:r>
              <w:rPr>
                <w:rFonts w:hint="eastAsia" w:cs="Times New Roman"/>
                <w:color w:val="FF0000"/>
                <w:sz w:val="24"/>
                <w:szCs w:val="24"/>
                <w:vertAlign w:val="superscript"/>
                <w:lang w:val="en-US" w:eastAsia="zh-CN"/>
              </w:rPr>
              <w:t>3</w:t>
            </w:r>
            <w:r>
              <w:rPr>
                <w:rFonts w:hint="eastAsia"/>
                <w:color w:val="FF0000"/>
                <w:sz w:val="24"/>
                <w:lang w:val="en-US" w:eastAsia="zh-CN"/>
              </w:rPr>
              <w:t>/a，试验仪器清洗用水5</w:t>
            </w:r>
            <w:r>
              <w:rPr>
                <w:rFonts w:hint="eastAsia" w:cs="Times New Roman"/>
                <w:color w:val="FF0000"/>
                <w:sz w:val="24"/>
                <w:szCs w:val="24"/>
                <w:lang w:val="en-US" w:eastAsia="zh-CN"/>
              </w:rPr>
              <w:t>m</w:t>
            </w:r>
            <w:r>
              <w:rPr>
                <w:rFonts w:hint="eastAsia" w:cs="Times New Roman"/>
                <w:color w:val="FF0000"/>
                <w:sz w:val="24"/>
                <w:szCs w:val="24"/>
                <w:vertAlign w:val="superscript"/>
                <w:lang w:val="en-US" w:eastAsia="zh-CN"/>
              </w:rPr>
              <w:t>3</w:t>
            </w:r>
            <w:r>
              <w:rPr>
                <w:rFonts w:hint="eastAsia"/>
                <w:color w:val="FF0000"/>
                <w:sz w:val="24"/>
                <w:lang w:val="en-US" w:eastAsia="zh-CN"/>
              </w:rPr>
              <w:t>/a。</w:t>
            </w:r>
            <w:r>
              <w:rPr>
                <w:rFonts w:hint="eastAsia"/>
                <w:color w:val="FF0000"/>
                <w:szCs w:val="21"/>
                <w:highlight w:val="none"/>
                <w:lang w:eastAsia="zh-CN"/>
              </w:rPr>
              <w:t>废水</w:t>
            </w:r>
            <w:r>
              <w:rPr>
                <w:rFonts w:hint="eastAsia"/>
                <w:color w:val="FF0000"/>
                <w:sz w:val="24"/>
                <w:highlight w:val="none"/>
                <w:lang w:val="en-US" w:eastAsia="zh-CN"/>
              </w:rPr>
              <w:t>损耗量以20%计，产生试验废液2.4</w:t>
            </w:r>
            <w:r>
              <w:rPr>
                <w:rFonts w:hint="eastAsia" w:cs="Times New Roman"/>
                <w:color w:val="FF0000"/>
                <w:sz w:val="24"/>
                <w:szCs w:val="24"/>
                <w:lang w:val="en-US" w:eastAsia="zh-CN"/>
              </w:rPr>
              <w:t>m</w:t>
            </w:r>
            <w:r>
              <w:rPr>
                <w:rFonts w:hint="eastAsia" w:cs="Times New Roman"/>
                <w:color w:val="FF0000"/>
                <w:sz w:val="24"/>
                <w:szCs w:val="24"/>
                <w:vertAlign w:val="superscript"/>
                <w:lang w:val="en-US" w:eastAsia="zh-CN"/>
              </w:rPr>
              <w:t>3</w:t>
            </w:r>
            <w:r>
              <w:rPr>
                <w:rFonts w:hint="eastAsia"/>
                <w:color w:val="FF0000"/>
                <w:sz w:val="24"/>
                <w:lang w:val="en-US" w:eastAsia="zh-CN"/>
              </w:rPr>
              <w:t>/a</w:t>
            </w:r>
            <w:r>
              <w:rPr>
                <w:rFonts w:hint="eastAsia"/>
                <w:color w:val="FF0000"/>
                <w:sz w:val="24"/>
                <w:highlight w:val="none"/>
                <w:lang w:val="en-US" w:eastAsia="zh-CN"/>
              </w:rPr>
              <w:t>，仪器清洗废水排放量为4</w:t>
            </w:r>
            <w:r>
              <w:rPr>
                <w:rFonts w:hint="eastAsia" w:cs="Times New Roman"/>
                <w:color w:val="FF0000"/>
                <w:sz w:val="24"/>
                <w:szCs w:val="24"/>
                <w:lang w:val="en-US" w:eastAsia="zh-CN"/>
              </w:rPr>
              <w:t>m</w:t>
            </w:r>
            <w:r>
              <w:rPr>
                <w:rFonts w:hint="eastAsia" w:cs="Times New Roman"/>
                <w:color w:val="FF0000"/>
                <w:sz w:val="24"/>
                <w:szCs w:val="24"/>
                <w:vertAlign w:val="superscript"/>
                <w:lang w:val="en-US" w:eastAsia="zh-CN"/>
              </w:rPr>
              <w:t>3</w:t>
            </w:r>
            <w:r>
              <w:rPr>
                <w:rFonts w:hint="eastAsia"/>
                <w:color w:val="FF0000"/>
                <w:sz w:val="24"/>
                <w:lang w:val="en-US" w:eastAsia="zh-CN"/>
              </w:rPr>
              <w:t>/a。</w:t>
            </w:r>
          </w:p>
          <w:p w14:paraId="482B06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FF0000"/>
                <w:sz w:val="24"/>
                <w:lang w:eastAsia="zh-CN"/>
              </w:rPr>
            </w:pPr>
            <w:r>
              <w:rPr>
                <w:rFonts w:hint="eastAsia"/>
                <w:color w:val="FF0000"/>
                <w:sz w:val="24"/>
                <w:highlight w:val="none"/>
                <w:lang w:val="en-US" w:eastAsia="zh-CN"/>
              </w:rPr>
              <w:t>④</w:t>
            </w:r>
            <w:r>
              <w:rPr>
                <w:rFonts w:hint="eastAsia"/>
                <w:color w:val="FF0000"/>
                <w:sz w:val="24"/>
                <w:lang w:val="en-US" w:eastAsia="zh-CN"/>
              </w:rPr>
              <w:t>纯水制备</w:t>
            </w:r>
            <w:r>
              <w:rPr>
                <w:rFonts w:hint="eastAsia"/>
                <w:color w:val="FF0000"/>
                <w:sz w:val="24"/>
                <w:lang w:eastAsia="zh-CN"/>
              </w:rPr>
              <w:t>用、排水</w:t>
            </w:r>
          </w:p>
          <w:p w14:paraId="599D52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FF0000"/>
                <w:sz w:val="24"/>
                <w:highlight w:val="yellow"/>
                <w:lang w:val="en-US" w:eastAsia="zh-CN"/>
              </w:rPr>
            </w:pPr>
            <w:r>
              <w:rPr>
                <w:rFonts w:hint="eastAsia"/>
                <w:color w:val="FF0000"/>
                <w:sz w:val="24"/>
                <w:lang w:val="en-US" w:eastAsia="zh-CN"/>
              </w:rPr>
              <w:t>本项目纯水总用量为</w:t>
            </w:r>
            <w:r>
              <w:rPr>
                <w:rFonts w:hint="eastAsia"/>
                <w:color w:val="FF0000"/>
                <w:sz w:val="24"/>
                <w:highlight w:val="none"/>
                <w:lang w:val="en-US" w:eastAsia="zh-CN"/>
              </w:rPr>
              <w:t>281</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 w:val="24"/>
                <w:highlight w:val="none"/>
                <w:lang w:val="en-US" w:eastAsia="zh-CN"/>
              </w:rPr>
              <w:t>/a。</w:t>
            </w:r>
            <w:r>
              <w:rPr>
                <w:rFonts w:hint="eastAsia"/>
                <w:color w:val="FF0000"/>
                <w:sz w:val="24"/>
                <w:lang w:val="en-US" w:eastAsia="zh-CN"/>
              </w:rPr>
              <w:t>本项目水处理设备为双极反渗透净水设备，双极反渗透净水设备通过两级RO膜串联深度脱盐净化，利用反渗透膜的选择性透过原理，在压力驱动下去除水中离子、杂质、微生物</w:t>
            </w:r>
            <w:r>
              <w:rPr>
                <w:rFonts w:hint="eastAsia"/>
                <w:color w:val="FF0000"/>
                <w:sz w:val="24"/>
                <w:highlight w:val="none"/>
                <w:lang w:val="en-US" w:eastAsia="zh-CN"/>
              </w:rPr>
              <w:t>等，制备满足食品生产要求的纯水，具有脱盐率高、出水稳定、水质纯净等特点，制备率为75%。则纯水制备过程用水量约375</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 w:val="24"/>
                <w:highlight w:val="none"/>
                <w:lang w:val="en-US" w:eastAsia="zh-CN"/>
              </w:rPr>
              <w:t>/a，纯水制备浓水产生量约94</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 w:val="24"/>
                <w:highlight w:val="none"/>
                <w:lang w:val="en-US" w:eastAsia="zh-CN"/>
              </w:rPr>
              <w:t>/a。</w:t>
            </w:r>
          </w:p>
          <w:p w14:paraId="15817E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FF0000"/>
                <w:sz w:val="24"/>
                <w:highlight w:val="none"/>
                <w:lang w:val="en-US" w:eastAsia="zh-CN"/>
              </w:rPr>
            </w:pPr>
            <w:r>
              <w:rPr>
                <w:rFonts w:hint="eastAsia"/>
                <w:color w:val="FF0000"/>
                <w:sz w:val="24"/>
                <w:highlight w:val="none"/>
                <w:lang w:val="en-US" w:eastAsia="zh-CN"/>
              </w:rPr>
              <w:t>综上所述，项目生产废水包括设备清洗废水、空瓶清洗废水、试验废液、试验仪器清洗废水和纯水制备浓水，</w:t>
            </w:r>
            <w:r>
              <w:rPr>
                <w:rFonts w:hint="eastAsia" w:cs="Times New Roman"/>
                <w:color w:val="FF0000"/>
                <w:sz w:val="24"/>
                <w:szCs w:val="24"/>
                <w:highlight w:val="none"/>
                <w:lang w:val="en-US" w:eastAsia="zh-CN"/>
              </w:rPr>
              <w:t>生产废水年排放量200.96m</w:t>
            </w:r>
            <w:r>
              <w:rPr>
                <w:rFonts w:hint="eastAsia" w:cs="Times New Roman"/>
                <w:color w:val="FF0000"/>
                <w:sz w:val="24"/>
                <w:szCs w:val="24"/>
                <w:highlight w:val="none"/>
                <w:vertAlign w:val="superscript"/>
                <w:lang w:val="en-US" w:eastAsia="zh-CN"/>
              </w:rPr>
              <w:t>3</w:t>
            </w:r>
            <w:r>
              <w:rPr>
                <w:rFonts w:hint="eastAsia"/>
                <w:color w:val="FF0000"/>
                <w:sz w:val="24"/>
                <w:highlight w:val="none"/>
                <w:lang w:val="en-US" w:eastAsia="zh-CN"/>
              </w:rPr>
              <w:t>/a</w:t>
            </w:r>
            <w:r>
              <w:rPr>
                <w:rFonts w:hint="eastAsia" w:cs="Times New Roman"/>
                <w:color w:val="FF0000"/>
                <w:sz w:val="24"/>
                <w:szCs w:val="24"/>
                <w:highlight w:val="none"/>
                <w:lang w:val="en-US" w:eastAsia="zh-CN"/>
              </w:rPr>
              <w:t>，</w:t>
            </w:r>
            <w:r>
              <w:rPr>
                <w:rFonts w:hint="eastAsia"/>
                <w:color w:val="FF0000"/>
                <w:sz w:val="24"/>
                <w:highlight w:val="none"/>
                <w:lang w:val="en-US" w:eastAsia="zh-CN"/>
              </w:rPr>
              <w:t>排放量小，不具备自建污水处理站的条件，设备清洗废水、试验仪器清洗废水、空瓶清洗废水和纯水制备浓水经废水收集桶收集</w:t>
            </w:r>
            <w:r>
              <w:rPr>
                <w:rFonts w:hint="eastAsia"/>
                <w:color w:val="FF0000"/>
                <w:sz w:val="24"/>
                <w:lang w:eastAsia="zh-CN"/>
              </w:rPr>
              <w:t>后委托检测单位检测合格，满足</w:t>
            </w:r>
            <w:r>
              <w:rPr>
                <w:rFonts w:hint="eastAsia"/>
                <w:color w:val="FF0000"/>
                <w:sz w:val="24"/>
                <w:highlight w:val="none"/>
                <w:lang w:val="en-US" w:eastAsia="zh-CN"/>
              </w:rPr>
              <w:t>佛坪县污水处理厂进水水质要求（COD≤400mg/L；悬浮物≤240mg/L；总氮≤35mg/L；总磷≤5mg/L；PH≤6.5~8.5；BOD</w:t>
            </w:r>
            <w:r>
              <w:rPr>
                <w:rFonts w:hint="eastAsia"/>
                <w:color w:val="FF0000"/>
                <w:sz w:val="24"/>
                <w:highlight w:val="none"/>
                <w:vertAlign w:val="subscript"/>
                <w:lang w:val="en-US" w:eastAsia="zh-CN"/>
              </w:rPr>
              <w:t>5</w:t>
            </w:r>
            <w:r>
              <w:rPr>
                <w:rFonts w:hint="eastAsia"/>
                <w:color w:val="FF0000"/>
                <w:sz w:val="24"/>
                <w:highlight w:val="none"/>
                <w:lang w:val="en-US" w:eastAsia="zh-CN"/>
              </w:rPr>
              <w:t>≤190mg/L）后，可通过罐车拉运至佛坪县污水处理厂处理，详见附件8；剩余少量纯水制备浓水经废水收集桶收集后用于冲厕；项目化验过程产生的试验废液属于危险废物，该部分废液采用密闭周转桶、防渗托盘，产生后及时委托有资质单位转运处置，不得在厂内长期暂存。</w:t>
            </w:r>
          </w:p>
          <w:p w14:paraId="513594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w:t>
            </w:r>
            <w:r>
              <w:rPr>
                <w:rFonts w:hint="eastAsia" w:cs="Times New Roman"/>
                <w:b/>
                <w:bCs/>
                <w:color w:val="auto"/>
                <w:sz w:val="24"/>
                <w:szCs w:val="24"/>
                <w:lang w:val="en-US" w:eastAsia="zh-CN"/>
              </w:rPr>
              <w:t>2</w:t>
            </w:r>
            <w:r>
              <w:rPr>
                <w:rFonts w:hint="default" w:ascii="Times New Roman" w:hAnsi="Times New Roman" w:eastAsia="宋体" w:cs="Times New Roman"/>
                <w:b/>
                <w:bCs/>
                <w:color w:val="auto"/>
                <w:sz w:val="24"/>
                <w:szCs w:val="24"/>
                <w:lang w:val="en-US" w:eastAsia="zh-CN"/>
              </w:rPr>
              <w:t>）生活用水</w:t>
            </w:r>
            <w:r>
              <w:rPr>
                <w:rFonts w:hint="eastAsia" w:ascii="Times New Roman" w:hAnsi="Times New Roman" w:eastAsia="宋体" w:cs="Times New Roman"/>
                <w:b/>
                <w:bCs/>
                <w:color w:val="auto"/>
                <w:sz w:val="24"/>
                <w:szCs w:val="24"/>
                <w:lang w:val="en-US" w:eastAsia="zh-CN"/>
              </w:rPr>
              <w:t>、排水</w:t>
            </w:r>
          </w:p>
          <w:p w14:paraId="5FBE161C">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本项目运营期劳动定员27人，均不在厂区内食宿，年工作110天</w:t>
            </w:r>
            <w:bookmarkStart w:id="26" w:name="OLE_LINK265"/>
            <w:r>
              <w:rPr>
                <w:rFonts w:hint="eastAsia" w:cs="Times New Roman"/>
                <w:color w:val="auto"/>
                <w:sz w:val="24"/>
                <w:szCs w:val="24"/>
                <w:lang w:val="en-US" w:eastAsia="zh-CN"/>
              </w:rPr>
              <w:t>。本项目主要为员工办公生活用水，参照《</w:t>
            </w:r>
            <w:bookmarkStart w:id="27" w:name="OLE_LINK266"/>
            <w:r>
              <w:rPr>
                <w:rFonts w:hint="eastAsia" w:cs="Times New Roman"/>
                <w:color w:val="auto"/>
                <w:sz w:val="24"/>
                <w:szCs w:val="24"/>
                <w:lang w:val="en-US" w:eastAsia="zh-CN"/>
              </w:rPr>
              <w:t>陕西省行业用水定额》</w:t>
            </w:r>
            <w:bookmarkEnd w:id="26"/>
            <w:r>
              <w:rPr>
                <w:rFonts w:hint="eastAsia" w:cs="Times New Roman"/>
                <w:color w:val="auto"/>
                <w:sz w:val="24"/>
                <w:szCs w:val="24"/>
                <w:lang w:val="en-US" w:eastAsia="zh-CN"/>
              </w:rPr>
              <w:t>（DB61/T 943-2020）</w:t>
            </w:r>
            <w:bookmarkEnd w:id="27"/>
            <w:r>
              <w:rPr>
                <w:rFonts w:hint="eastAsia"/>
                <w:color w:val="auto"/>
                <w:sz w:val="24"/>
              </w:rPr>
              <w:t>中表B.17行政办公及科研院所</w:t>
            </w:r>
            <w:r>
              <w:rPr>
                <w:rFonts w:hint="eastAsia" w:cs="Times New Roman"/>
                <w:color w:val="auto"/>
                <w:sz w:val="24"/>
                <w:szCs w:val="24"/>
                <w:lang w:val="en-US" w:eastAsia="zh-CN"/>
              </w:rPr>
              <w:t>，</w:t>
            </w:r>
            <w:r>
              <w:rPr>
                <w:rFonts w:hint="eastAsia"/>
                <w:color w:val="auto"/>
                <w:sz w:val="24"/>
              </w:rPr>
              <w:t>结合</w:t>
            </w:r>
            <w:r>
              <w:rPr>
                <w:rFonts w:hint="eastAsia"/>
                <w:color w:val="auto"/>
                <w:sz w:val="24"/>
                <w:lang w:eastAsia="zh-CN"/>
              </w:rPr>
              <w:t>项目</w:t>
            </w:r>
            <w:r>
              <w:rPr>
                <w:rFonts w:hint="eastAsia"/>
                <w:color w:val="auto"/>
                <w:sz w:val="24"/>
              </w:rPr>
              <w:t>实际情况，职工生活用水</w:t>
            </w:r>
            <w:r>
              <w:rPr>
                <w:rFonts w:hint="eastAsia"/>
                <w:color w:val="auto"/>
                <w:sz w:val="24"/>
                <w:lang w:eastAsia="zh-CN"/>
              </w:rPr>
              <w:t>取</w:t>
            </w:r>
            <w:r>
              <w:rPr>
                <w:rFonts w:hint="eastAsia" w:cs="Times New Roman"/>
                <w:color w:val="auto"/>
                <w:sz w:val="24"/>
                <w:szCs w:val="24"/>
                <w:lang w:val="en-US" w:eastAsia="zh-CN"/>
              </w:rPr>
              <w:t>10</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eastAsia" w:cs="Times New Roman"/>
                <w:color w:val="auto"/>
                <w:sz w:val="24"/>
                <w:szCs w:val="24"/>
                <w:lang w:val="en-US" w:eastAsia="zh-CN"/>
              </w:rPr>
              <w:t>/（人</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a）计，则本项目职工生活用水量为</w:t>
            </w:r>
            <w:r>
              <w:rPr>
                <w:rFonts w:hint="eastAsia"/>
                <w:color w:val="auto"/>
                <w:sz w:val="24"/>
                <w:highlight w:val="none"/>
                <w:lang w:val="en-US" w:eastAsia="zh-CN"/>
              </w:rPr>
              <w:t>270</w:t>
            </w:r>
            <w:r>
              <w:rPr>
                <w:rFonts w:hint="eastAsia"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3</w:t>
            </w:r>
            <w:r>
              <w:rPr>
                <w:rFonts w:hint="eastAsia"/>
                <w:color w:val="auto"/>
                <w:sz w:val="24"/>
                <w:highlight w:val="none"/>
                <w:lang w:val="en-US" w:eastAsia="zh-CN"/>
              </w:rPr>
              <w:t>/a，其中96</w:t>
            </w:r>
            <w:r>
              <w:rPr>
                <w:rFonts w:hint="eastAsia"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3</w:t>
            </w:r>
            <w:r>
              <w:rPr>
                <w:rFonts w:hint="eastAsia"/>
                <w:color w:val="auto"/>
                <w:sz w:val="24"/>
                <w:highlight w:val="none"/>
                <w:lang w:val="en-US" w:eastAsia="zh-CN"/>
              </w:rPr>
              <w:t>/a来源于空瓶清洗废水，新鲜水用量为174</w:t>
            </w:r>
            <w:r>
              <w:rPr>
                <w:rFonts w:hint="eastAsia"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3</w:t>
            </w:r>
            <w:r>
              <w:rPr>
                <w:rFonts w:hint="eastAsia"/>
                <w:color w:val="auto"/>
                <w:sz w:val="24"/>
                <w:highlight w:val="none"/>
                <w:lang w:val="en-US" w:eastAsia="zh-CN"/>
              </w:rPr>
              <w:t>/a。</w:t>
            </w:r>
            <w:r>
              <w:rPr>
                <w:rFonts w:hint="eastAsia" w:cs="Times New Roman"/>
                <w:color w:val="auto"/>
                <w:sz w:val="24"/>
                <w:szCs w:val="24"/>
                <w:lang w:val="en-US" w:eastAsia="zh-CN"/>
              </w:rPr>
              <w:t>生活污水产污</w:t>
            </w:r>
            <w:r>
              <w:rPr>
                <w:rFonts w:hint="eastAsia" w:cs="Times New Roman"/>
                <w:color w:val="auto"/>
                <w:sz w:val="24"/>
                <w:szCs w:val="24"/>
                <w:highlight w:val="none"/>
                <w:lang w:val="en-US" w:eastAsia="zh-CN"/>
              </w:rPr>
              <w:t>系数按80%计，则本项目生活污水产生量为</w:t>
            </w:r>
            <w:bookmarkStart w:id="28" w:name="OLE_LINK275"/>
            <w:r>
              <w:rPr>
                <w:rFonts w:hint="eastAsia"/>
                <w:color w:val="auto"/>
                <w:sz w:val="24"/>
                <w:highlight w:val="none"/>
                <w:lang w:val="en-US" w:eastAsia="zh-CN"/>
              </w:rPr>
              <w:t>216</w:t>
            </w:r>
            <w:r>
              <w:rPr>
                <w:rFonts w:hint="eastAsia"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3</w:t>
            </w:r>
            <w:r>
              <w:rPr>
                <w:rFonts w:hint="eastAsia"/>
                <w:color w:val="auto"/>
                <w:sz w:val="24"/>
                <w:highlight w:val="none"/>
                <w:lang w:val="en-US" w:eastAsia="zh-CN"/>
              </w:rPr>
              <w:t>/a</w:t>
            </w:r>
            <w:bookmarkEnd w:id="28"/>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生活污水</w:t>
            </w:r>
            <w:bookmarkStart w:id="29" w:name="OLE_LINK119"/>
            <w:r>
              <w:rPr>
                <w:rFonts w:hint="eastAsia" w:ascii="Times New Roman" w:hAnsi="Times New Roman" w:eastAsia="宋体" w:cs="Times New Roman"/>
                <w:color w:val="auto"/>
                <w:sz w:val="24"/>
                <w:szCs w:val="24"/>
                <w:highlight w:val="none"/>
                <w:lang w:val="en-US" w:eastAsia="zh-CN"/>
              </w:rPr>
              <w:t>经化粪池（20m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）处理后</w:t>
            </w:r>
            <w:bookmarkEnd w:id="29"/>
            <w:bookmarkStart w:id="30" w:name="OLE_LINK117"/>
            <w:r>
              <w:rPr>
                <w:rFonts w:hint="eastAsia" w:ascii="Times New Roman" w:hAnsi="Times New Roman" w:eastAsia="宋体" w:cs="Times New Roman"/>
                <w:color w:val="auto"/>
                <w:sz w:val="24"/>
                <w:szCs w:val="24"/>
                <w:highlight w:val="none"/>
                <w:lang w:val="en-US" w:eastAsia="zh-CN"/>
              </w:rPr>
              <w:t>由市政污水管网最终排入</w:t>
            </w:r>
            <w:r>
              <w:rPr>
                <w:rFonts w:hint="eastAsia" w:cs="Times New Roman"/>
                <w:color w:val="auto"/>
                <w:sz w:val="24"/>
                <w:szCs w:val="24"/>
                <w:highlight w:val="none"/>
                <w:lang w:val="en-US" w:eastAsia="zh-CN"/>
              </w:rPr>
              <w:t>佛坪县污水处理厂</w:t>
            </w:r>
            <w:r>
              <w:rPr>
                <w:rFonts w:hint="eastAsia" w:ascii="Times New Roman" w:hAnsi="Times New Roman" w:eastAsia="宋体" w:cs="Times New Roman"/>
                <w:color w:val="auto"/>
                <w:sz w:val="24"/>
                <w:szCs w:val="24"/>
                <w:highlight w:val="none"/>
                <w:lang w:val="en-US" w:eastAsia="zh-CN"/>
              </w:rPr>
              <w:t>处理。</w:t>
            </w:r>
            <w:bookmarkEnd w:id="30"/>
          </w:p>
          <w:p w14:paraId="000BA59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本项目</w:t>
            </w:r>
            <w:r>
              <w:rPr>
                <w:rFonts w:hint="eastAsia" w:cs="Times New Roman"/>
                <w:color w:val="auto"/>
                <w:sz w:val="24"/>
                <w:szCs w:val="24"/>
                <w:lang w:val="en-US" w:eastAsia="zh-CN"/>
              </w:rPr>
              <w:t>水平衡</w:t>
            </w:r>
            <w:r>
              <w:rPr>
                <w:rFonts w:hint="default" w:ascii="Times New Roman" w:hAnsi="Times New Roman" w:eastAsia="宋体" w:cs="Times New Roman"/>
                <w:color w:val="auto"/>
                <w:sz w:val="24"/>
                <w:szCs w:val="24"/>
                <w:lang w:eastAsia="zh-CN"/>
              </w:rPr>
              <w:t>情况见</w:t>
            </w:r>
            <w:r>
              <w:rPr>
                <w:rFonts w:hint="eastAsia" w:cs="Times New Roman"/>
                <w:color w:val="auto"/>
                <w:sz w:val="24"/>
                <w:szCs w:val="24"/>
                <w:lang w:eastAsia="zh-CN"/>
              </w:rPr>
              <w:t>下</w:t>
            </w:r>
            <w:r>
              <w:rPr>
                <w:rFonts w:hint="default" w:ascii="Times New Roman" w:hAnsi="Times New Roman" w:eastAsia="宋体" w:cs="Times New Roman"/>
                <w:color w:val="auto"/>
                <w:sz w:val="24"/>
                <w:szCs w:val="24"/>
                <w:lang w:eastAsia="zh-CN"/>
              </w:rPr>
              <w:t>表</w:t>
            </w:r>
            <w:r>
              <w:rPr>
                <w:rFonts w:hint="eastAsia" w:cs="Times New Roman"/>
                <w:color w:val="auto"/>
                <w:sz w:val="24"/>
                <w:szCs w:val="24"/>
                <w:lang w:eastAsia="zh-CN"/>
              </w:rPr>
              <w:t>：</w:t>
            </w:r>
          </w:p>
          <w:p w14:paraId="6728F3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FF0000"/>
                <w:sz w:val="21"/>
                <w:szCs w:val="21"/>
              </w:rPr>
            </w:pPr>
            <w:r>
              <w:rPr>
                <w:rFonts w:hint="default" w:ascii="Times New Roman" w:hAnsi="Times New Roman" w:eastAsia="宋体" w:cs="Times New Roman"/>
                <w:b/>
                <w:bCs/>
                <w:color w:val="FF0000"/>
                <w:sz w:val="21"/>
                <w:szCs w:val="21"/>
              </w:rPr>
              <w:t>表</w:t>
            </w:r>
            <w:r>
              <w:rPr>
                <w:rFonts w:hint="eastAsia" w:ascii="Times New Roman" w:hAnsi="Times New Roman" w:eastAsia="宋体" w:cs="Times New Roman"/>
                <w:b/>
                <w:bCs/>
                <w:color w:val="FF0000"/>
                <w:sz w:val="21"/>
                <w:szCs w:val="21"/>
                <w:lang w:val="en-US" w:eastAsia="zh-CN"/>
              </w:rPr>
              <w:t>2-</w:t>
            </w:r>
            <w:r>
              <w:rPr>
                <w:rFonts w:hint="eastAsia" w:cs="Times New Roman"/>
                <w:b/>
                <w:bCs/>
                <w:color w:val="FF0000"/>
                <w:sz w:val="21"/>
                <w:szCs w:val="21"/>
                <w:lang w:val="en-US" w:eastAsia="zh-CN"/>
              </w:rPr>
              <w:t>5</w:t>
            </w:r>
            <w:r>
              <w:rPr>
                <w:rFonts w:hint="default" w:ascii="Times New Roman" w:hAnsi="Times New Roman" w:eastAsia="宋体" w:cs="Times New Roman"/>
                <w:b/>
                <w:bCs/>
                <w:color w:val="FF0000"/>
                <w:sz w:val="21"/>
                <w:szCs w:val="21"/>
                <w:lang w:val="en-US" w:eastAsia="zh-CN"/>
              </w:rPr>
              <w:t xml:space="preserve"> </w:t>
            </w:r>
            <w:r>
              <w:rPr>
                <w:rFonts w:hint="eastAsia" w:ascii="Times New Roman" w:hAnsi="Times New Roman" w:eastAsia="宋体" w:cs="Times New Roman"/>
                <w:b/>
                <w:bCs/>
                <w:color w:val="FF0000"/>
                <w:sz w:val="21"/>
                <w:szCs w:val="21"/>
                <w:lang w:val="en-US" w:eastAsia="zh-CN"/>
              </w:rPr>
              <w:t>本</w:t>
            </w:r>
            <w:r>
              <w:rPr>
                <w:rFonts w:hint="default" w:ascii="Times New Roman" w:hAnsi="Times New Roman" w:eastAsia="宋体" w:cs="Times New Roman"/>
                <w:b/>
                <w:bCs/>
                <w:color w:val="FF0000"/>
                <w:sz w:val="21"/>
                <w:szCs w:val="21"/>
                <w:lang w:val="en-US" w:eastAsia="zh-CN"/>
              </w:rPr>
              <w:t>项目水平衡</w:t>
            </w:r>
            <w:r>
              <w:rPr>
                <w:rFonts w:hint="default" w:ascii="Times New Roman" w:hAnsi="Times New Roman" w:eastAsia="宋体" w:cs="Times New Roman"/>
                <w:b/>
                <w:bCs/>
                <w:color w:val="FF0000"/>
                <w:sz w:val="21"/>
                <w:szCs w:val="21"/>
              </w:rPr>
              <w:t>表</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1610"/>
              <w:gridCol w:w="1557"/>
              <w:gridCol w:w="1414"/>
              <w:gridCol w:w="1546"/>
              <w:gridCol w:w="2181"/>
            </w:tblGrid>
            <w:tr w14:paraId="51FBB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56" w:type="pct"/>
                  <w:tcBorders>
                    <w:tl2br w:val="nil"/>
                    <w:tr2bl w:val="nil"/>
                  </w:tcBorders>
                  <w:noWrap w:val="0"/>
                  <w:vAlign w:val="center"/>
                </w:tcPr>
                <w:p w14:paraId="49859E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bookmarkStart w:id="31" w:name="OLE_LINK294"/>
                  <w:r>
                    <w:rPr>
                      <w:rFonts w:hint="default" w:ascii="Times New Roman" w:hAnsi="Times New Roman" w:eastAsia="宋体" w:cs="Times New Roman"/>
                      <w:b/>
                      <w:bCs/>
                      <w:color w:val="auto"/>
                      <w:sz w:val="21"/>
                      <w:szCs w:val="21"/>
                      <w:lang w:val="en-US" w:eastAsia="zh-CN"/>
                    </w:rPr>
                    <w:t>序号</w:t>
                  </w:r>
                </w:p>
              </w:tc>
              <w:tc>
                <w:tcPr>
                  <w:tcW w:w="899" w:type="pct"/>
                  <w:tcBorders>
                    <w:tl2br w:val="nil"/>
                    <w:tr2bl w:val="nil"/>
                  </w:tcBorders>
                  <w:noWrap w:val="0"/>
                  <w:vAlign w:val="center"/>
                </w:tcPr>
                <w:p w14:paraId="2B07D7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项目</w:t>
                  </w:r>
                </w:p>
              </w:tc>
              <w:tc>
                <w:tcPr>
                  <w:tcW w:w="870" w:type="pct"/>
                  <w:tcBorders>
                    <w:tl2br w:val="nil"/>
                    <w:tr2bl w:val="nil"/>
                  </w:tcBorders>
                  <w:noWrap w:val="0"/>
                  <w:vAlign w:val="center"/>
                </w:tcPr>
                <w:p w14:paraId="31B9A5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sz w:val="21"/>
                      <w:szCs w:val="21"/>
                      <w:lang w:val="en-US" w:eastAsia="zh-CN"/>
                    </w:rPr>
                    <w:t>用</w:t>
                  </w:r>
                  <w:r>
                    <w:rPr>
                      <w:rFonts w:hint="eastAsia" w:cs="Times New Roman"/>
                      <w:b/>
                      <w:bCs/>
                      <w:color w:val="auto"/>
                      <w:sz w:val="21"/>
                      <w:szCs w:val="21"/>
                      <w:lang w:val="en-US" w:eastAsia="zh-CN"/>
                    </w:rPr>
                    <w:t>水</w:t>
                  </w:r>
                  <w:r>
                    <w:rPr>
                      <w:rFonts w:hint="eastAsia" w:ascii="Times New Roman" w:hAnsi="Times New Roman" w:eastAsia="宋体" w:cs="Times New Roman"/>
                      <w:b/>
                      <w:bCs/>
                      <w:color w:val="auto"/>
                      <w:sz w:val="21"/>
                      <w:szCs w:val="21"/>
                      <w:lang w:val="en-US" w:eastAsia="zh-CN"/>
                    </w:rPr>
                    <w:t>量</w:t>
                  </w:r>
                  <w:r>
                    <w:rPr>
                      <w:rFonts w:hint="default" w:ascii="Times New Roman" w:hAnsi="Times New Roman" w:eastAsia="宋体" w:cs="Times New Roman"/>
                      <w:b/>
                      <w:bCs/>
                      <w:color w:val="auto"/>
                      <w:sz w:val="21"/>
                      <w:szCs w:val="21"/>
                      <w:lang w:val="en-US" w:eastAsia="zh-CN"/>
                    </w:rPr>
                    <w:t>（m</w:t>
                  </w:r>
                  <w:r>
                    <w:rPr>
                      <w:rFonts w:hint="default" w:ascii="Times New Roman" w:hAnsi="Times New Roman" w:eastAsia="宋体" w:cs="Times New Roman"/>
                      <w:b/>
                      <w:bCs/>
                      <w:color w:val="auto"/>
                      <w:sz w:val="21"/>
                      <w:szCs w:val="21"/>
                      <w:vertAlign w:val="superscript"/>
                      <w:lang w:val="en-US" w:eastAsia="zh-CN"/>
                    </w:rPr>
                    <w:t>3</w:t>
                  </w:r>
                  <w:r>
                    <w:rPr>
                      <w:rFonts w:hint="default" w:ascii="Times New Roman" w:hAnsi="Times New Roman" w:eastAsia="宋体" w:cs="Times New Roman"/>
                      <w:b/>
                      <w:bCs/>
                      <w:color w:val="auto"/>
                      <w:sz w:val="21"/>
                      <w:szCs w:val="21"/>
                      <w:lang w:val="en-US" w:eastAsia="zh-CN"/>
                    </w:rPr>
                    <w:t>/</w:t>
                  </w:r>
                  <w:r>
                    <w:rPr>
                      <w:rFonts w:hint="eastAsia" w:cs="Times New Roman"/>
                      <w:b/>
                      <w:bCs/>
                      <w:color w:val="auto"/>
                      <w:sz w:val="21"/>
                      <w:szCs w:val="21"/>
                      <w:lang w:val="en-US" w:eastAsia="zh-CN"/>
                    </w:rPr>
                    <w:t>a</w:t>
                  </w:r>
                  <w:r>
                    <w:rPr>
                      <w:rFonts w:hint="default" w:ascii="Times New Roman" w:hAnsi="Times New Roman" w:eastAsia="宋体" w:cs="Times New Roman"/>
                      <w:b/>
                      <w:bCs/>
                      <w:color w:val="auto"/>
                      <w:sz w:val="21"/>
                      <w:szCs w:val="21"/>
                      <w:lang w:val="en-US" w:eastAsia="zh-CN"/>
                    </w:rPr>
                    <w:t>）</w:t>
                  </w:r>
                </w:p>
              </w:tc>
              <w:tc>
                <w:tcPr>
                  <w:tcW w:w="790" w:type="pct"/>
                  <w:tcBorders>
                    <w:tl2br w:val="nil"/>
                    <w:tr2bl w:val="nil"/>
                  </w:tcBorders>
                  <w:noWrap w:val="0"/>
                  <w:vAlign w:val="center"/>
                </w:tcPr>
                <w:p w14:paraId="084D51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b/>
                      <w:bCs/>
                      <w:color w:val="auto"/>
                      <w:sz w:val="21"/>
                      <w:szCs w:val="21"/>
                    </w:rPr>
                    <w:t>损耗量</w:t>
                  </w:r>
                  <w:r>
                    <w:rPr>
                      <w:rFonts w:hint="eastAsia"/>
                      <w:b/>
                      <w:bCs/>
                      <w:color w:val="auto"/>
                      <w:sz w:val="21"/>
                      <w:szCs w:val="21"/>
                      <w:lang w:val="en-US" w:eastAsia="zh-CN"/>
                    </w:rPr>
                    <w:t>(</w:t>
                  </w:r>
                  <w:r>
                    <w:rPr>
                      <w:rFonts w:hint="eastAsia"/>
                      <w:b/>
                      <w:bCs/>
                      <w:color w:val="auto"/>
                      <w:sz w:val="21"/>
                      <w:szCs w:val="21"/>
                    </w:rPr>
                    <w:t>m</w:t>
                  </w:r>
                  <w:r>
                    <w:rPr>
                      <w:rFonts w:hint="eastAsia"/>
                      <w:b/>
                      <w:bCs/>
                      <w:color w:val="auto"/>
                      <w:sz w:val="21"/>
                      <w:szCs w:val="21"/>
                      <w:vertAlign w:val="superscript"/>
                    </w:rPr>
                    <w:t>3</w:t>
                  </w:r>
                  <w:r>
                    <w:rPr>
                      <w:rFonts w:hint="eastAsia"/>
                      <w:b/>
                      <w:bCs/>
                      <w:color w:val="auto"/>
                      <w:sz w:val="21"/>
                      <w:szCs w:val="21"/>
                    </w:rPr>
                    <w:t>/</w:t>
                  </w:r>
                  <w:r>
                    <w:rPr>
                      <w:rFonts w:hint="eastAsia"/>
                      <w:b/>
                      <w:bCs/>
                      <w:color w:val="auto"/>
                      <w:sz w:val="21"/>
                      <w:szCs w:val="21"/>
                      <w:lang w:val="en-US" w:eastAsia="zh-CN"/>
                    </w:rPr>
                    <w:t>a)</w:t>
                  </w:r>
                </w:p>
              </w:tc>
              <w:tc>
                <w:tcPr>
                  <w:tcW w:w="864" w:type="pct"/>
                  <w:tcBorders>
                    <w:tl2br w:val="nil"/>
                    <w:tr2bl w:val="nil"/>
                  </w:tcBorders>
                  <w:noWrap w:val="0"/>
                  <w:vAlign w:val="center"/>
                </w:tcPr>
                <w:p w14:paraId="69AA07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排水量（m</w:t>
                  </w:r>
                  <w:r>
                    <w:rPr>
                      <w:rFonts w:hint="default" w:ascii="Times New Roman" w:hAnsi="Times New Roman" w:eastAsia="宋体" w:cs="Times New Roman"/>
                      <w:b/>
                      <w:bCs/>
                      <w:color w:val="auto"/>
                      <w:sz w:val="21"/>
                      <w:szCs w:val="21"/>
                      <w:vertAlign w:val="superscript"/>
                      <w:lang w:val="en-US" w:eastAsia="zh-CN"/>
                    </w:rPr>
                    <w:t>3</w:t>
                  </w:r>
                  <w:r>
                    <w:rPr>
                      <w:rFonts w:hint="default" w:ascii="Times New Roman" w:hAnsi="Times New Roman" w:eastAsia="宋体" w:cs="Times New Roman"/>
                      <w:b/>
                      <w:bCs/>
                      <w:color w:val="auto"/>
                      <w:sz w:val="21"/>
                      <w:szCs w:val="21"/>
                      <w:lang w:val="en-US" w:eastAsia="zh-CN"/>
                    </w:rPr>
                    <w:t>/</w:t>
                  </w:r>
                  <w:r>
                    <w:rPr>
                      <w:rFonts w:hint="eastAsia" w:cs="Times New Roman"/>
                      <w:b/>
                      <w:bCs/>
                      <w:color w:val="auto"/>
                      <w:sz w:val="21"/>
                      <w:szCs w:val="21"/>
                      <w:lang w:val="en-US" w:eastAsia="zh-CN"/>
                    </w:rPr>
                    <w:t>a</w:t>
                  </w:r>
                  <w:r>
                    <w:rPr>
                      <w:rFonts w:hint="default" w:ascii="Times New Roman" w:hAnsi="Times New Roman" w:eastAsia="宋体" w:cs="Times New Roman"/>
                      <w:b/>
                      <w:bCs/>
                      <w:color w:val="auto"/>
                      <w:sz w:val="21"/>
                      <w:szCs w:val="21"/>
                      <w:lang w:val="en-US" w:eastAsia="zh-CN"/>
                    </w:rPr>
                    <w:t>）</w:t>
                  </w:r>
                </w:p>
              </w:tc>
              <w:tc>
                <w:tcPr>
                  <w:tcW w:w="1219" w:type="pct"/>
                  <w:tcBorders>
                    <w:tl2br w:val="nil"/>
                    <w:tr2bl w:val="nil"/>
                  </w:tcBorders>
                  <w:noWrap w:val="0"/>
                  <w:vAlign w:val="center"/>
                </w:tcPr>
                <w:p w14:paraId="3C517B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排放去向</w:t>
                  </w:r>
                </w:p>
              </w:tc>
            </w:tr>
            <w:tr w14:paraId="4BDD21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56" w:type="pct"/>
                  <w:tcBorders>
                    <w:tl2br w:val="nil"/>
                    <w:tr2bl w:val="nil"/>
                  </w:tcBorders>
                  <w:noWrap w:val="0"/>
                  <w:vAlign w:val="center"/>
                </w:tcPr>
                <w:p w14:paraId="037486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899" w:type="pct"/>
                  <w:tcBorders>
                    <w:tl2br w:val="nil"/>
                    <w:tr2bl w:val="nil"/>
                  </w:tcBorders>
                  <w:noWrap w:val="0"/>
                  <w:vAlign w:val="center"/>
                </w:tcPr>
                <w:p w14:paraId="18080C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生活用水</w:t>
                  </w:r>
                </w:p>
              </w:tc>
              <w:tc>
                <w:tcPr>
                  <w:tcW w:w="870" w:type="pct"/>
                  <w:tcBorders>
                    <w:tl2br w:val="nil"/>
                    <w:tr2bl w:val="nil"/>
                  </w:tcBorders>
                  <w:noWrap w:val="0"/>
                  <w:vAlign w:val="center"/>
                </w:tcPr>
                <w:p w14:paraId="0B4347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270（6</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+264）</w:t>
                  </w:r>
                </w:p>
              </w:tc>
              <w:tc>
                <w:tcPr>
                  <w:tcW w:w="790" w:type="pct"/>
                  <w:tcBorders>
                    <w:tl2br w:val="nil"/>
                    <w:tr2bl w:val="nil"/>
                  </w:tcBorders>
                  <w:noWrap w:val="0"/>
                  <w:vAlign w:val="center"/>
                </w:tcPr>
                <w:p w14:paraId="514AFF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54</w:t>
                  </w:r>
                </w:p>
              </w:tc>
              <w:tc>
                <w:tcPr>
                  <w:tcW w:w="864" w:type="pct"/>
                  <w:tcBorders>
                    <w:tl2br w:val="nil"/>
                    <w:tr2bl w:val="nil"/>
                  </w:tcBorders>
                  <w:noWrap w:val="0"/>
                  <w:vAlign w:val="center"/>
                </w:tcPr>
                <w:p w14:paraId="173145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216</w:t>
                  </w:r>
                </w:p>
              </w:tc>
              <w:tc>
                <w:tcPr>
                  <w:tcW w:w="1219" w:type="pct"/>
                  <w:tcBorders>
                    <w:tl2br w:val="nil"/>
                    <w:tr2bl w:val="nil"/>
                  </w:tcBorders>
                  <w:noWrap w:val="0"/>
                  <w:vAlign w:val="center"/>
                </w:tcPr>
                <w:p w14:paraId="4B3CAF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color w:val="auto"/>
                      <w:sz w:val="21"/>
                      <w:szCs w:val="21"/>
                    </w:rPr>
                    <w:t>经化粪池处理后排入市政污水管网</w:t>
                  </w:r>
                </w:p>
              </w:tc>
            </w:tr>
            <w:tr w14:paraId="09243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56" w:type="pct"/>
                  <w:tcBorders>
                    <w:tl2br w:val="nil"/>
                    <w:tr2bl w:val="nil"/>
                  </w:tcBorders>
                  <w:noWrap w:val="0"/>
                  <w:vAlign w:val="center"/>
                </w:tcPr>
                <w:p w14:paraId="75B453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2</w:t>
                  </w:r>
                </w:p>
              </w:tc>
              <w:tc>
                <w:tcPr>
                  <w:tcW w:w="899" w:type="pct"/>
                  <w:tcBorders>
                    <w:tl2br w:val="nil"/>
                    <w:tr2bl w:val="nil"/>
                  </w:tcBorders>
                  <w:noWrap w:val="0"/>
                  <w:vAlign w:val="center"/>
                </w:tcPr>
                <w:p w14:paraId="78E76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发酵用水</w:t>
                  </w:r>
                </w:p>
              </w:tc>
              <w:tc>
                <w:tcPr>
                  <w:tcW w:w="870" w:type="pct"/>
                  <w:tcBorders>
                    <w:tl2br w:val="nil"/>
                    <w:tr2bl w:val="nil"/>
                  </w:tcBorders>
                  <w:noWrap w:val="0"/>
                  <w:vAlign w:val="center"/>
                </w:tcPr>
                <w:p w14:paraId="6565B7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161</w:t>
                  </w:r>
                  <w:r>
                    <w:rPr>
                      <w:rFonts w:hint="eastAsia" w:cs="Times New Roman"/>
                      <w:i w:val="0"/>
                      <w:iCs w:val="0"/>
                      <w:color w:val="auto"/>
                      <w:kern w:val="0"/>
                      <w:sz w:val="21"/>
                      <w:szCs w:val="21"/>
                      <w:u w:val="none"/>
                      <w:vertAlign w:val="superscript"/>
                      <w:lang w:val="en-US" w:eastAsia="zh-CN" w:bidi="ar"/>
                    </w:rPr>
                    <w:t>1</w:t>
                  </w:r>
                </w:p>
              </w:tc>
              <w:tc>
                <w:tcPr>
                  <w:tcW w:w="790" w:type="pct"/>
                  <w:tcBorders>
                    <w:tl2br w:val="nil"/>
                    <w:tr2bl w:val="nil"/>
                  </w:tcBorders>
                  <w:noWrap w:val="0"/>
                  <w:vAlign w:val="center"/>
                </w:tcPr>
                <w:p w14:paraId="481FB8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161</w:t>
                  </w:r>
                </w:p>
              </w:tc>
              <w:tc>
                <w:tcPr>
                  <w:tcW w:w="864" w:type="pct"/>
                  <w:tcBorders>
                    <w:tl2br w:val="nil"/>
                    <w:tr2bl w:val="nil"/>
                  </w:tcBorders>
                  <w:noWrap w:val="0"/>
                  <w:vAlign w:val="center"/>
                </w:tcPr>
                <w:p w14:paraId="515486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w:t>
                  </w:r>
                </w:p>
              </w:tc>
              <w:tc>
                <w:tcPr>
                  <w:tcW w:w="1219" w:type="pct"/>
                  <w:tcBorders>
                    <w:tl2br w:val="nil"/>
                    <w:tr2bl w:val="nil"/>
                  </w:tcBorders>
                  <w:noWrap w:val="0"/>
                  <w:vAlign w:val="center"/>
                </w:tcPr>
                <w:p w14:paraId="6F8CC5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产品</w:t>
                  </w:r>
                </w:p>
              </w:tc>
            </w:tr>
            <w:tr w14:paraId="3FC3BB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56" w:type="pct"/>
                  <w:vMerge w:val="restart"/>
                  <w:tcBorders>
                    <w:tl2br w:val="nil"/>
                    <w:tr2bl w:val="nil"/>
                  </w:tcBorders>
                  <w:noWrap w:val="0"/>
                  <w:vAlign w:val="center"/>
                </w:tcPr>
                <w:p w14:paraId="42D9AC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w:t>
                  </w:r>
                </w:p>
              </w:tc>
              <w:tc>
                <w:tcPr>
                  <w:tcW w:w="899" w:type="pct"/>
                  <w:vMerge w:val="restart"/>
                  <w:tcBorders>
                    <w:tl2br w:val="nil"/>
                    <w:tr2bl w:val="nil"/>
                  </w:tcBorders>
                  <w:noWrap w:val="0"/>
                  <w:vAlign w:val="center"/>
                </w:tcPr>
                <w:p w14:paraId="6C4F51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纯水制备用水</w:t>
                  </w:r>
                </w:p>
              </w:tc>
              <w:tc>
                <w:tcPr>
                  <w:tcW w:w="870" w:type="pct"/>
                  <w:vMerge w:val="restart"/>
                  <w:tcBorders>
                    <w:tl2br w:val="nil"/>
                    <w:tr2bl w:val="nil"/>
                  </w:tcBorders>
                  <w:noWrap w:val="0"/>
                  <w:vAlign w:val="center"/>
                </w:tcPr>
                <w:p w14:paraId="12DC53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375</w:t>
                  </w:r>
                </w:p>
              </w:tc>
              <w:tc>
                <w:tcPr>
                  <w:tcW w:w="790" w:type="pct"/>
                  <w:vMerge w:val="restart"/>
                  <w:tcBorders>
                    <w:tl2br w:val="nil"/>
                    <w:tr2bl w:val="nil"/>
                  </w:tcBorders>
                  <w:noWrap w:val="0"/>
                  <w:vAlign w:val="center"/>
                </w:tcPr>
                <w:p w14:paraId="088184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281</w:t>
                  </w:r>
                  <w:r>
                    <w:rPr>
                      <w:rFonts w:hint="eastAsia" w:cs="Times New Roman"/>
                      <w:i w:val="0"/>
                      <w:iCs w:val="0"/>
                      <w:color w:val="auto"/>
                      <w:kern w:val="0"/>
                      <w:sz w:val="21"/>
                      <w:szCs w:val="21"/>
                      <w:u w:val="none"/>
                      <w:vertAlign w:val="superscript"/>
                      <w:lang w:val="en-US" w:eastAsia="zh-CN" w:bidi="ar"/>
                    </w:rPr>
                    <w:t>1</w:t>
                  </w:r>
                </w:p>
              </w:tc>
              <w:tc>
                <w:tcPr>
                  <w:tcW w:w="864" w:type="pct"/>
                  <w:tcBorders>
                    <w:tl2br w:val="nil"/>
                    <w:tr2bl w:val="nil"/>
                  </w:tcBorders>
                  <w:noWrap w:val="0"/>
                  <w:vAlign w:val="center"/>
                </w:tcPr>
                <w:p w14:paraId="2AA0C4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w:t>
                  </w:r>
                  <w:r>
                    <w:rPr>
                      <w:rFonts w:hint="eastAsia" w:cs="Times New Roman"/>
                      <w:i w:val="0"/>
                      <w:iCs w:val="0"/>
                      <w:color w:val="auto"/>
                      <w:kern w:val="0"/>
                      <w:sz w:val="21"/>
                      <w:szCs w:val="21"/>
                      <w:u w:val="none"/>
                      <w:vertAlign w:val="superscript"/>
                      <w:lang w:val="en-US" w:eastAsia="zh-CN" w:bidi="ar"/>
                    </w:rPr>
                    <w:t>2</w:t>
                  </w:r>
                </w:p>
              </w:tc>
              <w:tc>
                <w:tcPr>
                  <w:tcW w:w="1219" w:type="pct"/>
                  <w:tcBorders>
                    <w:tl2br w:val="nil"/>
                    <w:tr2bl w:val="nil"/>
                  </w:tcBorders>
                  <w:noWrap w:val="0"/>
                  <w:vAlign w:val="center"/>
                </w:tcPr>
                <w:p w14:paraId="52F9CE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宋体"/>
                      <w:color w:val="auto"/>
                      <w:sz w:val="21"/>
                      <w:szCs w:val="21"/>
                      <w:lang w:val="en-US" w:eastAsia="zh-CN"/>
                    </w:rPr>
                  </w:pPr>
                  <w:r>
                    <w:rPr>
                      <w:rFonts w:hint="eastAsia"/>
                      <w:color w:val="auto"/>
                      <w:sz w:val="21"/>
                      <w:szCs w:val="21"/>
                      <w:lang w:val="en-US" w:eastAsia="zh-CN"/>
                    </w:rPr>
                    <w:t>收集进行冲厕</w:t>
                  </w:r>
                </w:p>
              </w:tc>
            </w:tr>
            <w:tr w14:paraId="24DC3F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56" w:type="pct"/>
                  <w:vMerge w:val="continue"/>
                  <w:tcBorders>
                    <w:tl2br w:val="nil"/>
                    <w:tr2bl w:val="nil"/>
                  </w:tcBorders>
                  <w:noWrap w:val="0"/>
                  <w:vAlign w:val="center"/>
                </w:tcPr>
                <w:p w14:paraId="5C7899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899" w:type="pct"/>
                  <w:vMerge w:val="continue"/>
                  <w:tcBorders>
                    <w:tl2br w:val="nil"/>
                    <w:tr2bl w:val="nil"/>
                  </w:tcBorders>
                  <w:noWrap w:val="0"/>
                  <w:vAlign w:val="center"/>
                </w:tcPr>
                <w:p w14:paraId="215B32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p>
              </w:tc>
              <w:tc>
                <w:tcPr>
                  <w:tcW w:w="870" w:type="pct"/>
                  <w:vMerge w:val="continue"/>
                  <w:tcBorders>
                    <w:tl2br w:val="nil"/>
                    <w:tr2bl w:val="nil"/>
                  </w:tcBorders>
                  <w:noWrap w:val="0"/>
                  <w:vAlign w:val="center"/>
                </w:tcPr>
                <w:p w14:paraId="60FC35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790" w:type="pct"/>
                  <w:vMerge w:val="continue"/>
                  <w:tcBorders>
                    <w:tl2br w:val="nil"/>
                    <w:tr2bl w:val="nil"/>
                  </w:tcBorders>
                  <w:noWrap w:val="0"/>
                  <w:vAlign w:val="center"/>
                </w:tcPr>
                <w:p w14:paraId="2D0456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864" w:type="pct"/>
                  <w:tcBorders>
                    <w:tl2br w:val="nil"/>
                    <w:tr2bl w:val="nil"/>
                  </w:tcBorders>
                  <w:noWrap w:val="0"/>
                  <w:vAlign w:val="center"/>
                </w:tcPr>
                <w:p w14:paraId="004C96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88</w:t>
                  </w:r>
                </w:p>
              </w:tc>
              <w:tc>
                <w:tcPr>
                  <w:tcW w:w="1219" w:type="pct"/>
                  <w:vMerge w:val="restart"/>
                  <w:tcBorders>
                    <w:tl2br w:val="nil"/>
                    <w:tr2bl w:val="nil"/>
                  </w:tcBorders>
                  <w:noWrap w:val="0"/>
                  <w:vAlign w:val="center"/>
                </w:tcPr>
                <w:p w14:paraId="5793B7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color w:val="auto"/>
                      <w:sz w:val="21"/>
                      <w:szCs w:val="21"/>
                      <w:lang w:val="en-US" w:eastAsia="zh-CN"/>
                    </w:rPr>
                  </w:pPr>
                  <w:r>
                    <w:rPr>
                      <w:rFonts w:hint="eastAsia"/>
                      <w:color w:val="auto"/>
                      <w:sz w:val="21"/>
                      <w:szCs w:val="21"/>
                      <w:lang w:val="en-US" w:eastAsia="zh-CN"/>
                    </w:rPr>
                    <w:t>通过废水收集桶收集后委外检测合格满足佛坪县污水处理厂进水水质要求，罐车拉运至污水处理厂处置</w:t>
                  </w:r>
                </w:p>
              </w:tc>
            </w:tr>
            <w:tr w14:paraId="30E97A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56" w:type="pct"/>
                  <w:tcBorders>
                    <w:tl2br w:val="nil"/>
                    <w:tr2bl w:val="nil"/>
                  </w:tcBorders>
                  <w:noWrap w:val="0"/>
                  <w:vAlign w:val="center"/>
                </w:tcPr>
                <w:p w14:paraId="2AE8E3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w:t>
                  </w:r>
                </w:p>
              </w:tc>
              <w:tc>
                <w:tcPr>
                  <w:tcW w:w="899" w:type="pct"/>
                  <w:tcBorders>
                    <w:tl2br w:val="nil"/>
                    <w:tr2bl w:val="nil"/>
                  </w:tcBorders>
                  <w:noWrap w:val="0"/>
                  <w:vAlign w:val="center"/>
                </w:tcPr>
                <w:p w14:paraId="28F249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设备清洗用水</w:t>
                  </w:r>
                </w:p>
              </w:tc>
              <w:tc>
                <w:tcPr>
                  <w:tcW w:w="870" w:type="pct"/>
                  <w:tcBorders>
                    <w:tl2br w:val="nil"/>
                    <w:tr2bl w:val="nil"/>
                  </w:tcBorders>
                  <w:noWrap w:val="0"/>
                  <w:vAlign w:val="center"/>
                </w:tcPr>
                <w:p w14:paraId="2CC090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16.2</w:t>
                  </w:r>
                </w:p>
              </w:tc>
              <w:tc>
                <w:tcPr>
                  <w:tcW w:w="790" w:type="pct"/>
                  <w:tcBorders>
                    <w:tl2br w:val="nil"/>
                    <w:tr2bl w:val="nil"/>
                  </w:tcBorders>
                  <w:noWrap w:val="0"/>
                  <w:vAlign w:val="center"/>
                </w:tcPr>
                <w:p w14:paraId="6E5134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3.24</w:t>
                  </w:r>
                </w:p>
              </w:tc>
              <w:tc>
                <w:tcPr>
                  <w:tcW w:w="864" w:type="pct"/>
                  <w:tcBorders>
                    <w:tl2br w:val="nil"/>
                    <w:tr2bl w:val="nil"/>
                  </w:tcBorders>
                  <w:noWrap w:val="0"/>
                  <w:vAlign w:val="center"/>
                </w:tcPr>
                <w:p w14:paraId="47C263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12.96</w:t>
                  </w:r>
                </w:p>
              </w:tc>
              <w:tc>
                <w:tcPr>
                  <w:tcW w:w="1219" w:type="pct"/>
                  <w:vMerge w:val="continue"/>
                  <w:tcBorders>
                    <w:tl2br w:val="nil"/>
                    <w:tr2bl w:val="nil"/>
                  </w:tcBorders>
                  <w:noWrap w:val="0"/>
                  <w:vAlign w:val="center"/>
                </w:tcPr>
                <w:p w14:paraId="7DDA15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olor w:val="auto"/>
                      <w:sz w:val="21"/>
                      <w:szCs w:val="21"/>
                      <w:lang w:val="en-US" w:eastAsia="zh-CN"/>
                    </w:rPr>
                  </w:pPr>
                </w:p>
              </w:tc>
            </w:tr>
            <w:tr w14:paraId="2F7FDC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56" w:type="pct"/>
                  <w:tcBorders>
                    <w:tl2br w:val="nil"/>
                    <w:tr2bl w:val="nil"/>
                  </w:tcBorders>
                  <w:noWrap w:val="0"/>
                  <w:vAlign w:val="center"/>
                </w:tcPr>
                <w:p w14:paraId="4B2AC6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5</w:t>
                  </w:r>
                </w:p>
              </w:tc>
              <w:tc>
                <w:tcPr>
                  <w:tcW w:w="899" w:type="pct"/>
                  <w:tcBorders>
                    <w:tl2br w:val="nil"/>
                    <w:tr2bl w:val="nil"/>
                  </w:tcBorders>
                  <w:noWrap w:val="0"/>
                  <w:vAlign w:val="center"/>
                </w:tcPr>
                <w:p w14:paraId="47BD09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空瓶清洗用水</w:t>
                  </w:r>
                </w:p>
              </w:tc>
              <w:tc>
                <w:tcPr>
                  <w:tcW w:w="870" w:type="pct"/>
                  <w:tcBorders>
                    <w:tl2br w:val="nil"/>
                    <w:tr2bl w:val="nil"/>
                  </w:tcBorders>
                  <w:noWrap w:val="0"/>
                  <w:vAlign w:val="center"/>
                </w:tcPr>
                <w:p w14:paraId="334D06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120</w:t>
                  </w:r>
                  <w:r>
                    <w:rPr>
                      <w:rFonts w:hint="eastAsia" w:cs="Times New Roman"/>
                      <w:i w:val="0"/>
                      <w:iCs w:val="0"/>
                      <w:color w:val="auto"/>
                      <w:kern w:val="0"/>
                      <w:sz w:val="21"/>
                      <w:szCs w:val="21"/>
                      <w:u w:val="none"/>
                      <w:vertAlign w:val="superscript"/>
                      <w:lang w:val="en-US" w:eastAsia="zh-CN" w:bidi="ar"/>
                    </w:rPr>
                    <w:t>1</w:t>
                  </w:r>
                </w:p>
              </w:tc>
              <w:tc>
                <w:tcPr>
                  <w:tcW w:w="790" w:type="pct"/>
                  <w:tcBorders>
                    <w:tl2br w:val="nil"/>
                    <w:tr2bl w:val="nil"/>
                  </w:tcBorders>
                  <w:noWrap w:val="0"/>
                  <w:vAlign w:val="center"/>
                </w:tcPr>
                <w:p w14:paraId="0CC18A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24</w:t>
                  </w:r>
                </w:p>
              </w:tc>
              <w:tc>
                <w:tcPr>
                  <w:tcW w:w="864" w:type="pct"/>
                  <w:tcBorders>
                    <w:tl2br w:val="nil"/>
                    <w:tr2bl w:val="nil"/>
                  </w:tcBorders>
                  <w:noWrap w:val="0"/>
                  <w:vAlign w:val="center"/>
                </w:tcPr>
                <w:p w14:paraId="1660EE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96</w:t>
                  </w:r>
                </w:p>
              </w:tc>
              <w:tc>
                <w:tcPr>
                  <w:tcW w:w="1219" w:type="pct"/>
                  <w:vMerge w:val="continue"/>
                  <w:tcBorders>
                    <w:tl2br w:val="nil"/>
                    <w:tr2bl w:val="nil"/>
                  </w:tcBorders>
                  <w:noWrap w:val="0"/>
                  <w:vAlign w:val="center"/>
                </w:tcPr>
                <w:p w14:paraId="251615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olor w:val="auto"/>
                      <w:sz w:val="21"/>
                      <w:szCs w:val="21"/>
                      <w:lang w:val="en-US" w:eastAsia="zh-CN"/>
                    </w:rPr>
                  </w:pPr>
                </w:p>
              </w:tc>
            </w:tr>
            <w:tr w14:paraId="348C89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56" w:type="pct"/>
                  <w:tcBorders>
                    <w:tl2br w:val="nil"/>
                    <w:tr2bl w:val="nil"/>
                  </w:tcBorders>
                  <w:noWrap w:val="0"/>
                  <w:vAlign w:val="center"/>
                </w:tcPr>
                <w:p w14:paraId="67A5B8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w:t>
                  </w:r>
                </w:p>
              </w:tc>
              <w:tc>
                <w:tcPr>
                  <w:tcW w:w="899" w:type="pct"/>
                  <w:tcBorders>
                    <w:tl2br w:val="nil"/>
                    <w:tr2bl w:val="nil"/>
                  </w:tcBorders>
                  <w:noWrap w:val="0"/>
                  <w:vAlign w:val="center"/>
                </w:tcPr>
                <w:p w14:paraId="5421D3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试验仪器清洗用水</w:t>
                  </w:r>
                </w:p>
              </w:tc>
              <w:tc>
                <w:tcPr>
                  <w:tcW w:w="870" w:type="pct"/>
                  <w:tcBorders>
                    <w:tl2br w:val="nil"/>
                    <w:tr2bl w:val="nil"/>
                  </w:tcBorders>
                  <w:noWrap w:val="0"/>
                  <w:vAlign w:val="center"/>
                </w:tcPr>
                <w:p w14:paraId="12CF07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w:t>
                  </w:r>
                </w:p>
              </w:tc>
              <w:tc>
                <w:tcPr>
                  <w:tcW w:w="790" w:type="pct"/>
                  <w:tcBorders>
                    <w:tl2br w:val="nil"/>
                    <w:tr2bl w:val="nil"/>
                  </w:tcBorders>
                  <w:noWrap w:val="0"/>
                  <w:vAlign w:val="center"/>
                </w:tcPr>
                <w:p w14:paraId="77FB72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w:t>
                  </w:r>
                </w:p>
              </w:tc>
              <w:tc>
                <w:tcPr>
                  <w:tcW w:w="864" w:type="pct"/>
                  <w:tcBorders>
                    <w:tl2br w:val="nil"/>
                    <w:tr2bl w:val="nil"/>
                  </w:tcBorders>
                  <w:noWrap w:val="0"/>
                  <w:vAlign w:val="center"/>
                </w:tcPr>
                <w:p w14:paraId="4D719E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w:t>
                  </w:r>
                </w:p>
              </w:tc>
              <w:tc>
                <w:tcPr>
                  <w:tcW w:w="1219" w:type="pct"/>
                  <w:vMerge w:val="continue"/>
                  <w:tcBorders>
                    <w:tl2br w:val="nil"/>
                    <w:tr2bl w:val="nil"/>
                  </w:tcBorders>
                  <w:noWrap w:val="0"/>
                  <w:vAlign w:val="center"/>
                </w:tcPr>
                <w:p w14:paraId="404FBA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r>
            <w:tr w14:paraId="5AD6C4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56" w:type="pct"/>
                  <w:tcBorders>
                    <w:tl2br w:val="nil"/>
                    <w:tr2bl w:val="nil"/>
                  </w:tcBorders>
                  <w:noWrap w:val="0"/>
                  <w:vAlign w:val="center"/>
                </w:tcPr>
                <w:p w14:paraId="68CC2A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lang w:val="en-US" w:eastAsia="zh-CN"/>
                    </w:rPr>
                  </w:pPr>
                  <w:r>
                    <w:rPr>
                      <w:rFonts w:hint="eastAsia"/>
                      <w:color w:val="auto"/>
                      <w:lang w:val="en-US" w:eastAsia="zh-CN"/>
                    </w:rPr>
                    <w:t>7</w:t>
                  </w:r>
                </w:p>
              </w:tc>
              <w:tc>
                <w:tcPr>
                  <w:tcW w:w="899" w:type="pct"/>
                  <w:tcBorders>
                    <w:tl2br w:val="nil"/>
                    <w:tr2bl w:val="nil"/>
                  </w:tcBorders>
                  <w:noWrap w:val="0"/>
                  <w:vAlign w:val="center"/>
                </w:tcPr>
                <w:p w14:paraId="2D442A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试验用水</w:t>
                  </w:r>
                </w:p>
              </w:tc>
              <w:tc>
                <w:tcPr>
                  <w:tcW w:w="870" w:type="pct"/>
                  <w:tcBorders>
                    <w:tl2br w:val="nil"/>
                    <w:tr2bl w:val="nil"/>
                  </w:tcBorders>
                  <w:noWrap w:val="0"/>
                  <w:vAlign w:val="center"/>
                </w:tcPr>
                <w:p w14:paraId="253F0E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3</w:t>
                  </w:r>
                </w:p>
              </w:tc>
              <w:tc>
                <w:tcPr>
                  <w:tcW w:w="790" w:type="pct"/>
                  <w:tcBorders>
                    <w:tl2br w:val="nil"/>
                    <w:tr2bl w:val="nil"/>
                  </w:tcBorders>
                  <w:noWrap w:val="0"/>
                  <w:vAlign w:val="center"/>
                </w:tcPr>
                <w:p w14:paraId="02DA90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0.6</w:t>
                  </w:r>
                </w:p>
              </w:tc>
              <w:tc>
                <w:tcPr>
                  <w:tcW w:w="864" w:type="pct"/>
                  <w:tcBorders>
                    <w:tl2br w:val="nil"/>
                    <w:tr2bl w:val="nil"/>
                  </w:tcBorders>
                  <w:noWrap w:val="0"/>
                  <w:vAlign w:val="center"/>
                </w:tcPr>
                <w:p w14:paraId="536593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2.4</w:t>
                  </w:r>
                  <w:r>
                    <w:rPr>
                      <w:rFonts w:hint="eastAsia" w:cs="Times New Roman"/>
                      <w:color w:val="auto"/>
                      <w:sz w:val="21"/>
                      <w:szCs w:val="21"/>
                      <w:vertAlign w:val="superscript"/>
                      <w:lang w:val="en-US" w:eastAsia="zh-CN"/>
                    </w:rPr>
                    <w:t>3</w:t>
                  </w:r>
                </w:p>
              </w:tc>
              <w:tc>
                <w:tcPr>
                  <w:tcW w:w="1219" w:type="pct"/>
                  <w:tcBorders>
                    <w:tl2br w:val="nil"/>
                    <w:tr2bl w:val="nil"/>
                  </w:tcBorders>
                  <w:noWrap w:val="0"/>
                  <w:vAlign w:val="center"/>
                </w:tcPr>
                <w:p w14:paraId="65B40F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危险废物，</w:t>
                  </w:r>
                  <w:r>
                    <w:rPr>
                      <w:rFonts w:hint="eastAsia" w:cs="Times New Roman"/>
                      <w:color w:val="auto"/>
                      <w:sz w:val="21"/>
                      <w:szCs w:val="21"/>
                      <w:lang w:val="en-US" w:eastAsia="zh-CN"/>
                    </w:rPr>
                    <w:t>采用密闭周转桶、防渗托盘，产生后及时委托有资质单位转运处置</w:t>
                  </w:r>
                </w:p>
              </w:tc>
            </w:tr>
            <w:tr w14:paraId="0BFC5F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56" w:type="pct"/>
                  <w:gridSpan w:val="2"/>
                  <w:tcBorders>
                    <w:tl2br w:val="nil"/>
                    <w:tr2bl w:val="nil"/>
                  </w:tcBorders>
                  <w:noWrap w:val="0"/>
                  <w:vAlign w:val="center"/>
                </w:tcPr>
                <w:p w14:paraId="037D4A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b/>
                      <w:bCs/>
                      <w:color w:val="auto"/>
                      <w:sz w:val="21"/>
                      <w:szCs w:val="21"/>
                      <w:lang w:val="en-US" w:eastAsia="zh-CN"/>
                    </w:rPr>
                    <w:t>合计</w:t>
                  </w:r>
                </w:p>
              </w:tc>
              <w:tc>
                <w:tcPr>
                  <w:tcW w:w="870" w:type="pct"/>
                  <w:tcBorders>
                    <w:tl2br w:val="nil"/>
                    <w:tr2bl w:val="nil"/>
                  </w:tcBorders>
                  <w:noWrap w:val="0"/>
                  <w:vAlign w:val="center"/>
                </w:tcPr>
                <w:p w14:paraId="6D9770D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663.2</w:t>
                  </w:r>
                </w:p>
              </w:tc>
              <w:tc>
                <w:tcPr>
                  <w:tcW w:w="790" w:type="pct"/>
                  <w:tcBorders>
                    <w:tl2br w:val="nil"/>
                    <w:tr2bl w:val="nil"/>
                  </w:tcBorders>
                  <w:noWrap w:val="0"/>
                  <w:vAlign w:val="center"/>
                </w:tcPr>
                <w:p w14:paraId="588CDA31">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cs="Times New Roman"/>
                      <w:b w:val="0"/>
                      <w:bCs w:val="0"/>
                      <w:i w:val="0"/>
                      <w:iCs w:val="0"/>
                      <w:color w:val="auto"/>
                      <w:kern w:val="0"/>
                      <w:sz w:val="21"/>
                      <w:szCs w:val="21"/>
                      <w:u w:val="none"/>
                      <w:lang w:val="en-US" w:eastAsia="zh-CN" w:bidi="ar"/>
                    </w:rPr>
                    <w:t>243.84</w:t>
                  </w:r>
                </w:p>
              </w:tc>
              <w:tc>
                <w:tcPr>
                  <w:tcW w:w="864" w:type="pct"/>
                  <w:tcBorders>
                    <w:tl2br w:val="nil"/>
                    <w:tr2bl w:val="nil"/>
                  </w:tcBorders>
                  <w:noWrap w:val="0"/>
                  <w:vAlign w:val="center"/>
                </w:tcPr>
                <w:p w14:paraId="0A9A062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cs="Times New Roman"/>
                      <w:b w:val="0"/>
                      <w:bCs w:val="0"/>
                      <w:i w:val="0"/>
                      <w:iCs w:val="0"/>
                      <w:color w:val="auto"/>
                      <w:kern w:val="0"/>
                      <w:sz w:val="21"/>
                      <w:szCs w:val="21"/>
                      <w:u w:val="none"/>
                      <w:lang w:val="en-US" w:eastAsia="zh-CN" w:bidi="ar"/>
                    </w:rPr>
                    <w:t>419.36</w:t>
                  </w:r>
                </w:p>
              </w:tc>
              <w:tc>
                <w:tcPr>
                  <w:tcW w:w="1219" w:type="pct"/>
                  <w:tcBorders>
                    <w:tl2br w:val="nil"/>
                    <w:tr2bl w:val="nil"/>
                  </w:tcBorders>
                  <w:noWrap w:val="0"/>
                  <w:vAlign w:val="center"/>
                </w:tcPr>
                <w:p w14:paraId="41E4D8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w:t>
                  </w:r>
                </w:p>
              </w:tc>
            </w:tr>
            <w:tr w14:paraId="0999FE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56" w:type="pct"/>
                  <w:gridSpan w:val="2"/>
                  <w:tcBorders>
                    <w:tl2br w:val="nil"/>
                    <w:tr2bl w:val="nil"/>
                  </w:tcBorders>
                  <w:noWrap w:val="0"/>
                  <w:vAlign w:val="center"/>
                </w:tcPr>
                <w:p w14:paraId="1FA431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备注</w:t>
                  </w:r>
                </w:p>
              </w:tc>
              <w:tc>
                <w:tcPr>
                  <w:tcW w:w="3743" w:type="pct"/>
                  <w:gridSpan w:val="4"/>
                  <w:tcBorders>
                    <w:tl2br w:val="nil"/>
                    <w:tr2bl w:val="nil"/>
                  </w:tcBorders>
                  <w:noWrap w:val="0"/>
                  <w:vAlign w:val="center"/>
                </w:tcPr>
                <w:p w14:paraId="3BA371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b/>
                      <w:bCs/>
                      <w:i w:val="0"/>
                      <w:iCs w:val="0"/>
                      <w:color w:val="auto"/>
                      <w:kern w:val="0"/>
                      <w:sz w:val="21"/>
                      <w:szCs w:val="21"/>
                      <w:u w:val="none"/>
                      <w:lang w:val="en-US" w:eastAsia="zh-CN" w:bidi="ar"/>
                    </w:rPr>
                  </w:pPr>
                  <w:r>
                    <w:rPr>
                      <w:rFonts w:hint="eastAsia" w:cs="Times New Roman"/>
                      <w:b/>
                      <w:bCs/>
                      <w:i w:val="0"/>
                      <w:iCs w:val="0"/>
                      <w:color w:val="auto"/>
                      <w:kern w:val="0"/>
                      <w:sz w:val="21"/>
                      <w:szCs w:val="21"/>
                      <w:u w:val="none"/>
                      <w:lang w:val="en-US" w:eastAsia="zh-CN" w:bidi="ar"/>
                    </w:rPr>
                    <w:t>1表中纯水用量不重复计算2纯水制备浓水用于冲厕3危险废物，采用密闭周转桶、防渗托盘，产生后及时委托有资质单位转运处置</w:t>
                  </w:r>
                </w:p>
              </w:tc>
            </w:tr>
            <w:bookmarkEnd w:id="31"/>
          </w:tbl>
          <w:p w14:paraId="056F4F7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eastAsia="宋体"/>
                <w:color w:val="auto"/>
                <w:sz w:val="24"/>
                <w:lang w:val="en-US" w:eastAsia="zh-CN"/>
              </w:rPr>
            </w:pPr>
            <w:r>
              <w:rPr>
                <w:rFonts w:hint="default" w:eastAsia="宋体"/>
                <w:color w:val="auto"/>
                <w:sz w:val="24"/>
                <w:lang w:val="en-US" w:eastAsia="zh-CN"/>
              </w:rPr>
              <w:drawing>
                <wp:inline distT="0" distB="0" distL="114300" distR="114300">
                  <wp:extent cx="4791075" cy="1884045"/>
                  <wp:effectExtent l="0" t="0" r="9525" b="5715"/>
                  <wp:docPr id="1" name="ECB019B1-382A-4266-B25C-5B523AA43C14-1" descr="C:/Users/Administrator/AppData/Local/Temp/wps.MgARkv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B019B1-382A-4266-B25C-5B523AA43C14-1" descr="C:/Users/Administrator/AppData/Local/Temp/wps.MgARkvwps"/>
                          <pic:cNvPicPr>
                            <a:picLocks noChangeAspect="1"/>
                          </pic:cNvPicPr>
                        </pic:nvPicPr>
                        <pic:blipFill>
                          <a:blip r:embed="rId13"/>
                          <a:stretch>
                            <a:fillRect/>
                          </a:stretch>
                        </pic:blipFill>
                        <pic:spPr>
                          <a:xfrm>
                            <a:off x="0" y="0"/>
                            <a:ext cx="4791075" cy="1884045"/>
                          </a:xfrm>
                          <a:prstGeom prst="rect">
                            <a:avLst/>
                          </a:prstGeom>
                        </pic:spPr>
                      </pic:pic>
                    </a:graphicData>
                  </a:graphic>
                </wp:inline>
              </w:drawing>
            </w:r>
          </w:p>
          <w:p w14:paraId="17C4AB6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b/>
                <w:bCs/>
                <w:color w:val="auto"/>
                <w:sz w:val="21"/>
                <w:szCs w:val="21"/>
                <w:lang w:val="en-US" w:eastAsia="zh-CN"/>
              </w:rPr>
            </w:pPr>
            <w:r>
              <w:rPr>
                <w:rFonts w:hint="default"/>
                <w:b/>
                <w:bCs/>
                <w:color w:val="auto"/>
                <w:sz w:val="21"/>
                <w:szCs w:val="21"/>
                <w:lang w:val="en-US" w:eastAsia="zh-CN"/>
              </w:rPr>
              <w:t>图2-1</w:t>
            </w:r>
            <w:r>
              <w:rPr>
                <w:rFonts w:hint="default"/>
                <w:b/>
                <w:bCs/>
                <w:color w:val="auto"/>
                <w:sz w:val="21"/>
                <w:szCs w:val="21"/>
                <w:highlight w:val="none"/>
                <w:lang w:val="en-US" w:eastAsia="zh-CN"/>
              </w:rPr>
              <w:t xml:space="preserve"> 本项目水平衡图（单位</w:t>
            </w:r>
            <w:r>
              <w:rPr>
                <w:rFonts w:hint="default"/>
                <w:b/>
                <w:bCs/>
                <w:color w:val="auto"/>
                <w:sz w:val="21"/>
                <w:szCs w:val="21"/>
                <w:lang w:val="en-US" w:eastAsia="zh-CN"/>
              </w:rPr>
              <w:t>：m</w:t>
            </w:r>
            <w:r>
              <w:rPr>
                <w:rFonts w:hint="default"/>
                <w:b/>
                <w:bCs/>
                <w:color w:val="auto"/>
                <w:sz w:val="21"/>
                <w:szCs w:val="21"/>
                <w:vertAlign w:val="superscript"/>
                <w:lang w:val="en-US" w:eastAsia="zh-CN"/>
              </w:rPr>
              <w:t>3</w:t>
            </w:r>
            <w:r>
              <w:rPr>
                <w:rFonts w:hint="default"/>
                <w:b/>
                <w:bCs/>
                <w:color w:val="auto"/>
                <w:sz w:val="21"/>
                <w:szCs w:val="21"/>
                <w:lang w:val="en-US" w:eastAsia="zh-CN"/>
              </w:rPr>
              <w:t>/</w:t>
            </w:r>
            <w:r>
              <w:rPr>
                <w:rFonts w:hint="eastAsia"/>
                <w:b/>
                <w:bCs/>
                <w:color w:val="auto"/>
                <w:sz w:val="21"/>
                <w:szCs w:val="21"/>
                <w:lang w:val="en-US" w:eastAsia="zh-CN"/>
              </w:rPr>
              <w:t>a</w:t>
            </w:r>
            <w:r>
              <w:rPr>
                <w:rFonts w:hint="default"/>
                <w:b/>
                <w:bCs/>
                <w:color w:val="auto"/>
                <w:sz w:val="21"/>
                <w:szCs w:val="21"/>
                <w:lang w:val="en-US" w:eastAsia="zh-CN"/>
              </w:rPr>
              <w:t>）</w:t>
            </w:r>
          </w:p>
          <w:p w14:paraId="32CF731C">
            <w:pPr>
              <w:ind w:firstLine="482"/>
              <w:rPr>
                <w:rFonts w:ascii="Times New Roman" w:hAnsi="Times New Roman" w:eastAsia="宋体"/>
                <w:b/>
                <w:bCs/>
                <w:color w:val="auto"/>
                <w:kern w:val="0"/>
                <w:highlight w:val="none"/>
              </w:rPr>
            </w:pPr>
            <w:r>
              <w:rPr>
                <w:rFonts w:hint="eastAsia" w:ascii="Times New Roman" w:hAnsi="Times New Roman" w:eastAsia="宋体"/>
                <w:b/>
                <w:bCs/>
                <w:color w:val="auto"/>
                <w:kern w:val="0"/>
                <w:highlight w:val="none"/>
              </w:rPr>
              <w:t>2.</w:t>
            </w:r>
            <w:r>
              <w:rPr>
                <w:rFonts w:hint="eastAsia" w:ascii="Times New Roman" w:hAnsi="Times New Roman"/>
                <w:b/>
                <w:bCs/>
                <w:color w:val="auto"/>
                <w:kern w:val="0"/>
                <w:highlight w:val="none"/>
                <w:lang w:val="en-US" w:eastAsia="zh-CN"/>
              </w:rPr>
              <w:t>7</w:t>
            </w:r>
            <w:r>
              <w:rPr>
                <w:rFonts w:ascii="Times New Roman" w:hAnsi="Times New Roman" w:eastAsia="宋体"/>
                <w:b/>
                <w:bCs/>
                <w:color w:val="auto"/>
                <w:kern w:val="0"/>
                <w:highlight w:val="none"/>
              </w:rPr>
              <w:t>供暖与制冷</w:t>
            </w:r>
          </w:p>
          <w:p w14:paraId="496455E9">
            <w:pPr>
              <w:bidi w:val="0"/>
              <w:rPr>
                <w:rFonts w:hint="eastAsia" w:ascii="Times New Roman" w:hAnsi="Times New Roman" w:eastAsia="宋体"/>
                <w:color w:val="auto"/>
                <w:highlight w:val="none"/>
                <w:lang w:val="en-US" w:eastAsia="zh-CN"/>
              </w:rPr>
            </w:pPr>
            <w:bookmarkStart w:id="32" w:name="_Toc312501473"/>
            <w:r>
              <w:rPr>
                <w:rFonts w:hint="eastAsia"/>
                <w:color w:val="auto"/>
                <w:highlight w:val="none"/>
                <w:lang w:eastAsia="zh-CN"/>
              </w:rPr>
              <w:t>本项目生产区不供暖制冷，办公区</w:t>
            </w:r>
            <w:r>
              <w:rPr>
                <w:rFonts w:hint="eastAsia"/>
                <w:color w:val="auto"/>
                <w:highlight w:val="none"/>
              </w:rPr>
              <w:t>采用分体式空调采暖制冷</w:t>
            </w:r>
            <w:r>
              <w:rPr>
                <w:rFonts w:hint="eastAsia" w:ascii="Times New Roman" w:hAnsi="Times New Roman" w:eastAsia="宋体"/>
                <w:color w:val="auto"/>
                <w:highlight w:val="none"/>
                <w:lang w:val="en-US" w:eastAsia="zh-CN"/>
              </w:rPr>
              <w:t>。</w:t>
            </w:r>
          </w:p>
          <w:p w14:paraId="6077BFE0">
            <w:pPr>
              <w:ind w:firstLine="482"/>
              <w:rPr>
                <w:rFonts w:ascii="Times New Roman" w:hAnsi="Times New Roman" w:eastAsia="宋体"/>
                <w:b/>
                <w:bCs/>
                <w:color w:val="auto"/>
                <w:kern w:val="0"/>
                <w:highlight w:val="none"/>
              </w:rPr>
            </w:pPr>
            <w:r>
              <w:rPr>
                <w:rFonts w:hint="eastAsia" w:ascii="Times New Roman" w:hAnsi="Times New Roman" w:eastAsia="宋体"/>
                <w:b/>
                <w:bCs/>
                <w:color w:val="auto"/>
                <w:kern w:val="0"/>
                <w:highlight w:val="none"/>
              </w:rPr>
              <w:t>2.</w:t>
            </w:r>
            <w:r>
              <w:rPr>
                <w:rFonts w:hint="eastAsia" w:ascii="Times New Roman" w:hAnsi="Times New Roman"/>
                <w:b/>
                <w:bCs/>
                <w:color w:val="auto"/>
                <w:kern w:val="0"/>
                <w:highlight w:val="none"/>
                <w:lang w:val="en-US" w:eastAsia="zh-CN"/>
              </w:rPr>
              <w:t>8</w:t>
            </w:r>
            <w:r>
              <w:rPr>
                <w:rFonts w:ascii="Times New Roman" w:hAnsi="Times New Roman" w:eastAsia="宋体"/>
                <w:b/>
                <w:bCs/>
                <w:color w:val="auto"/>
                <w:kern w:val="0"/>
                <w:highlight w:val="none"/>
              </w:rPr>
              <w:t>供电</w:t>
            </w:r>
            <w:bookmarkEnd w:id="32"/>
          </w:p>
          <w:p w14:paraId="4D5C5822">
            <w:pPr>
              <w:bidi w:val="0"/>
              <w:rPr>
                <w:rFonts w:hint="eastAsia" w:ascii="Times New Roman" w:hAnsi="Times New Roman" w:eastAsia="宋体"/>
                <w:color w:val="auto"/>
                <w:highlight w:val="none"/>
                <w:lang w:val="en-US" w:eastAsia="zh-CN"/>
              </w:rPr>
            </w:pPr>
            <w:r>
              <w:rPr>
                <w:rFonts w:hint="eastAsia"/>
                <w:color w:val="auto"/>
                <w:highlight w:val="none"/>
              </w:rPr>
              <w:t>项目</w:t>
            </w:r>
            <w:r>
              <w:rPr>
                <w:color w:val="auto"/>
                <w:highlight w:val="none"/>
              </w:rPr>
              <w:t>用电</w:t>
            </w:r>
            <w:r>
              <w:rPr>
                <w:rFonts w:hint="eastAsia"/>
                <w:color w:val="auto"/>
                <w:highlight w:val="none"/>
              </w:rPr>
              <w:t>依托厂区供电管网供给，可以满足需求</w:t>
            </w:r>
            <w:r>
              <w:rPr>
                <w:rFonts w:hint="eastAsia" w:ascii="Times New Roman" w:hAnsi="Times New Roman" w:eastAsia="宋体"/>
                <w:color w:val="auto"/>
                <w:highlight w:val="none"/>
                <w:lang w:val="en-US" w:eastAsia="zh-CN"/>
              </w:rPr>
              <w:t>。</w:t>
            </w:r>
          </w:p>
          <w:p w14:paraId="0FF909E6">
            <w:pPr>
              <w:ind w:firstLine="482"/>
              <w:rPr>
                <w:rFonts w:hint="eastAsia"/>
                <w:b/>
                <w:bCs/>
                <w:color w:val="auto"/>
                <w:kern w:val="0"/>
                <w:highlight w:val="none"/>
                <w:lang w:eastAsia="zh-CN"/>
              </w:rPr>
            </w:pPr>
            <w:r>
              <w:rPr>
                <w:rFonts w:hint="eastAsia" w:ascii="Times New Roman" w:hAnsi="Times New Roman" w:eastAsia="宋体"/>
                <w:b/>
                <w:bCs/>
                <w:color w:val="auto"/>
                <w:kern w:val="0"/>
                <w:highlight w:val="none"/>
                <w:lang w:val="en-US" w:eastAsia="zh-CN"/>
              </w:rPr>
              <w:t>2.</w:t>
            </w:r>
            <w:r>
              <w:rPr>
                <w:rFonts w:hint="eastAsia"/>
                <w:b/>
                <w:bCs/>
                <w:color w:val="auto"/>
                <w:kern w:val="0"/>
                <w:highlight w:val="none"/>
                <w:lang w:val="en-US" w:eastAsia="zh-CN"/>
              </w:rPr>
              <w:t>9</w:t>
            </w:r>
            <w:r>
              <w:rPr>
                <w:rFonts w:hint="eastAsia"/>
                <w:b/>
                <w:bCs/>
                <w:color w:val="auto"/>
                <w:kern w:val="0"/>
                <w:highlight w:val="none"/>
                <w:lang w:eastAsia="zh-CN"/>
              </w:rPr>
              <w:t>物料平衡分析</w:t>
            </w:r>
          </w:p>
          <w:p w14:paraId="5976DE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b w:val="0"/>
                <w:bCs w:val="0"/>
                <w:color w:val="auto"/>
                <w:kern w:val="0"/>
                <w:highlight w:val="none"/>
                <w:lang w:eastAsia="zh-CN"/>
              </w:rPr>
            </w:pPr>
            <w:r>
              <w:rPr>
                <w:rFonts w:hint="eastAsia"/>
                <w:b w:val="0"/>
                <w:bCs w:val="0"/>
                <w:color w:val="auto"/>
                <w:kern w:val="0"/>
                <w:highlight w:val="none"/>
                <w:lang w:eastAsia="zh-CN"/>
              </w:rPr>
              <w:t>根据项目特征，本项目的物料平衡内容如下所示：</w:t>
            </w:r>
          </w:p>
          <w:p w14:paraId="3AFBFA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FF0000"/>
                <w:sz w:val="21"/>
                <w:szCs w:val="21"/>
                <w:lang w:val="en-US" w:eastAsia="zh-CN"/>
              </w:rPr>
            </w:pPr>
            <w:r>
              <w:rPr>
                <w:rFonts w:hint="default" w:ascii="Times New Roman" w:hAnsi="Times New Roman" w:eastAsia="宋体" w:cs="Times New Roman"/>
                <w:b/>
                <w:bCs/>
                <w:color w:val="FF0000"/>
                <w:sz w:val="21"/>
                <w:szCs w:val="21"/>
              </w:rPr>
              <w:t>表</w:t>
            </w:r>
            <w:r>
              <w:rPr>
                <w:rFonts w:hint="eastAsia" w:ascii="Times New Roman" w:hAnsi="Times New Roman" w:eastAsia="宋体" w:cs="Times New Roman"/>
                <w:b/>
                <w:bCs/>
                <w:color w:val="FF0000"/>
                <w:sz w:val="21"/>
                <w:szCs w:val="21"/>
                <w:lang w:val="en-US" w:eastAsia="zh-CN"/>
              </w:rPr>
              <w:t>2-</w:t>
            </w:r>
            <w:r>
              <w:rPr>
                <w:rFonts w:hint="eastAsia" w:cs="Times New Roman"/>
                <w:b/>
                <w:bCs/>
                <w:color w:val="FF0000"/>
                <w:sz w:val="21"/>
                <w:szCs w:val="21"/>
                <w:lang w:val="en-US" w:eastAsia="zh-CN"/>
              </w:rPr>
              <w:t>6</w:t>
            </w:r>
            <w:r>
              <w:rPr>
                <w:rFonts w:hint="default" w:ascii="Times New Roman" w:hAnsi="Times New Roman" w:eastAsia="宋体" w:cs="Times New Roman"/>
                <w:b/>
                <w:bCs/>
                <w:color w:val="FF0000"/>
                <w:sz w:val="21"/>
                <w:szCs w:val="21"/>
                <w:lang w:val="en-US" w:eastAsia="zh-CN"/>
              </w:rPr>
              <w:t xml:space="preserve"> </w:t>
            </w:r>
            <w:r>
              <w:rPr>
                <w:rFonts w:hint="eastAsia" w:ascii="Times New Roman" w:hAnsi="Times New Roman" w:eastAsia="宋体" w:cs="Times New Roman"/>
                <w:b/>
                <w:bCs/>
                <w:color w:val="FF0000"/>
                <w:sz w:val="21"/>
                <w:szCs w:val="21"/>
                <w:lang w:val="en-US" w:eastAsia="zh-CN"/>
              </w:rPr>
              <w:t>本</w:t>
            </w:r>
            <w:r>
              <w:rPr>
                <w:rFonts w:hint="default" w:ascii="Times New Roman" w:hAnsi="Times New Roman" w:eastAsia="宋体" w:cs="Times New Roman"/>
                <w:b/>
                <w:bCs/>
                <w:color w:val="FF0000"/>
                <w:sz w:val="21"/>
                <w:szCs w:val="21"/>
                <w:lang w:val="en-US" w:eastAsia="zh-CN"/>
              </w:rPr>
              <w:t>项目</w:t>
            </w:r>
            <w:r>
              <w:rPr>
                <w:rFonts w:hint="eastAsia" w:cs="Times New Roman"/>
                <w:b/>
                <w:bCs/>
                <w:color w:val="FF0000"/>
                <w:sz w:val="21"/>
                <w:szCs w:val="21"/>
                <w:lang w:val="en-US" w:eastAsia="zh-CN"/>
              </w:rPr>
              <w:t>物料</w:t>
            </w:r>
            <w:r>
              <w:rPr>
                <w:rFonts w:hint="default" w:ascii="Times New Roman" w:hAnsi="Times New Roman" w:eastAsia="宋体" w:cs="Times New Roman"/>
                <w:b/>
                <w:bCs/>
                <w:color w:val="FF0000"/>
                <w:sz w:val="21"/>
                <w:szCs w:val="21"/>
                <w:lang w:val="en-US" w:eastAsia="zh-CN"/>
              </w:rPr>
              <w:t>平衡</w:t>
            </w:r>
            <w:r>
              <w:rPr>
                <w:rFonts w:hint="default" w:ascii="Times New Roman" w:hAnsi="Times New Roman" w:eastAsia="宋体" w:cs="Times New Roman"/>
                <w:b/>
                <w:bCs/>
                <w:color w:val="FF0000"/>
                <w:sz w:val="21"/>
                <w:szCs w:val="21"/>
              </w:rPr>
              <w:t>表</w:t>
            </w:r>
          </w:p>
          <w:tbl>
            <w:tblPr>
              <w:tblStyle w:val="26"/>
              <w:tblW w:w="0" w:type="auto"/>
              <w:tblInd w:w="-1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063"/>
              <w:gridCol w:w="1745"/>
              <w:gridCol w:w="1304"/>
              <w:gridCol w:w="1167"/>
              <w:gridCol w:w="2177"/>
              <w:gridCol w:w="1494"/>
            </w:tblGrid>
            <w:tr w14:paraId="432E595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c>
                <w:tcPr>
                  <w:tcW w:w="4121" w:type="dxa"/>
                  <w:gridSpan w:val="3"/>
                  <w:tcBorders>
                    <w:tl2br w:val="nil"/>
                    <w:tr2bl w:val="nil"/>
                  </w:tcBorders>
                </w:tcPr>
                <w:p w14:paraId="61D60C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加入物料</w:t>
                  </w:r>
                </w:p>
              </w:tc>
              <w:tc>
                <w:tcPr>
                  <w:tcW w:w="4849" w:type="dxa"/>
                  <w:gridSpan w:val="3"/>
                  <w:tcBorders>
                    <w:tl2br w:val="nil"/>
                    <w:tr2bl w:val="nil"/>
                  </w:tcBorders>
                </w:tcPr>
                <w:p w14:paraId="47462A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产出物料</w:t>
                  </w:r>
                </w:p>
              </w:tc>
            </w:tr>
            <w:tr w14:paraId="28B5039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1066" w:type="dxa"/>
                  <w:tcBorders>
                    <w:tl2br w:val="nil"/>
                    <w:tr2bl w:val="nil"/>
                  </w:tcBorders>
                </w:tcPr>
                <w:p w14:paraId="46D27F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color w:val="auto"/>
                      <w:sz w:val="21"/>
                      <w:szCs w:val="21"/>
                      <w:lang w:eastAsia="zh-CN"/>
                    </w:rPr>
                  </w:pPr>
                  <w:r>
                    <w:rPr>
                      <w:rFonts w:hint="eastAsia" w:cs="Times New Roman"/>
                      <w:b/>
                      <w:bCs/>
                      <w:color w:val="auto"/>
                      <w:sz w:val="21"/>
                      <w:szCs w:val="21"/>
                      <w:lang w:eastAsia="zh-CN"/>
                    </w:rPr>
                    <w:t>序号</w:t>
                  </w:r>
                </w:p>
              </w:tc>
              <w:tc>
                <w:tcPr>
                  <w:tcW w:w="1750" w:type="dxa"/>
                  <w:tcBorders>
                    <w:tl2br w:val="nil"/>
                    <w:tr2bl w:val="nil"/>
                  </w:tcBorders>
                </w:tcPr>
                <w:p w14:paraId="732475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color w:val="auto"/>
                      <w:sz w:val="21"/>
                      <w:szCs w:val="21"/>
                      <w:lang w:eastAsia="zh-CN"/>
                    </w:rPr>
                  </w:pPr>
                  <w:r>
                    <w:rPr>
                      <w:rFonts w:hint="eastAsia" w:cs="Times New Roman"/>
                      <w:b/>
                      <w:bCs/>
                      <w:color w:val="auto"/>
                      <w:sz w:val="21"/>
                      <w:szCs w:val="21"/>
                      <w:lang w:eastAsia="zh-CN"/>
                    </w:rPr>
                    <w:t>名称</w:t>
                  </w:r>
                </w:p>
              </w:tc>
              <w:tc>
                <w:tcPr>
                  <w:tcW w:w="1305" w:type="dxa"/>
                  <w:tcBorders>
                    <w:tl2br w:val="nil"/>
                    <w:tr2bl w:val="nil"/>
                  </w:tcBorders>
                </w:tcPr>
                <w:p w14:paraId="74EE5C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bCs/>
                      <w:color w:val="auto"/>
                      <w:lang w:val="en-US" w:eastAsia="zh-CN"/>
                    </w:rPr>
                  </w:pPr>
                  <w:r>
                    <w:rPr>
                      <w:rFonts w:hint="eastAsia" w:cs="Times New Roman"/>
                      <w:b/>
                      <w:bCs/>
                      <w:color w:val="auto"/>
                      <w:sz w:val="21"/>
                      <w:szCs w:val="21"/>
                      <w:lang w:eastAsia="zh-CN"/>
                    </w:rPr>
                    <w:t>物料量（</w:t>
                  </w:r>
                  <w:r>
                    <w:rPr>
                      <w:rFonts w:hint="eastAsia" w:cs="Times New Roman"/>
                      <w:b/>
                      <w:bCs/>
                      <w:color w:val="auto"/>
                      <w:sz w:val="21"/>
                      <w:szCs w:val="21"/>
                      <w:lang w:val="en-US" w:eastAsia="zh-CN"/>
                    </w:rPr>
                    <w:t>t/a)</w:t>
                  </w:r>
                </w:p>
              </w:tc>
              <w:tc>
                <w:tcPr>
                  <w:tcW w:w="1170" w:type="dxa"/>
                  <w:tcBorders>
                    <w:tl2br w:val="nil"/>
                    <w:tr2bl w:val="nil"/>
                  </w:tcBorders>
                  <w:vAlign w:val="top"/>
                </w:tcPr>
                <w:p w14:paraId="10E918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b/>
                      <w:bCs/>
                      <w:color w:val="auto"/>
                      <w:sz w:val="21"/>
                      <w:szCs w:val="21"/>
                      <w:lang w:eastAsia="zh-CN"/>
                    </w:rPr>
                    <w:t>序号</w:t>
                  </w:r>
                </w:p>
              </w:tc>
              <w:tc>
                <w:tcPr>
                  <w:tcW w:w="2183" w:type="dxa"/>
                  <w:tcBorders>
                    <w:tl2br w:val="nil"/>
                    <w:tr2bl w:val="nil"/>
                  </w:tcBorders>
                  <w:vAlign w:val="top"/>
                </w:tcPr>
                <w:p w14:paraId="3167F4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b/>
                      <w:bCs/>
                      <w:color w:val="auto"/>
                      <w:sz w:val="21"/>
                      <w:szCs w:val="21"/>
                      <w:lang w:eastAsia="zh-CN"/>
                    </w:rPr>
                    <w:t>名称</w:t>
                  </w:r>
                </w:p>
              </w:tc>
              <w:tc>
                <w:tcPr>
                  <w:tcW w:w="1496" w:type="dxa"/>
                  <w:tcBorders>
                    <w:tl2br w:val="nil"/>
                    <w:tr2bl w:val="nil"/>
                  </w:tcBorders>
                  <w:vAlign w:val="top"/>
                </w:tcPr>
                <w:p w14:paraId="04C12C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b/>
                      <w:bCs/>
                      <w:color w:val="auto"/>
                      <w:sz w:val="21"/>
                      <w:szCs w:val="21"/>
                      <w:lang w:eastAsia="zh-CN"/>
                    </w:rPr>
                    <w:t>物料量（</w:t>
                  </w:r>
                  <w:r>
                    <w:rPr>
                      <w:rFonts w:hint="eastAsia" w:cs="Times New Roman"/>
                      <w:b/>
                      <w:bCs/>
                      <w:color w:val="auto"/>
                      <w:sz w:val="21"/>
                      <w:szCs w:val="21"/>
                      <w:lang w:val="en-US" w:eastAsia="zh-CN"/>
                    </w:rPr>
                    <w:t>t/a)</w:t>
                  </w:r>
                </w:p>
              </w:tc>
            </w:tr>
            <w:tr w14:paraId="54AF01C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1066" w:type="dxa"/>
                  <w:tcBorders>
                    <w:tl2br w:val="nil"/>
                    <w:tr2bl w:val="nil"/>
                  </w:tcBorders>
                </w:tcPr>
                <w:p w14:paraId="770E17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1</w:t>
                  </w:r>
                </w:p>
              </w:tc>
              <w:tc>
                <w:tcPr>
                  <w:tcW w:w="1750" w:type="dxa"/>
                  <w:tcBorders>
                    <w:tl2br w:val="nil"/>
                    <w:tr2bl w:val="nil"/>
                  </w:tcBorders>
                  <w:vAlign w:val="center"/>
                </w:tcPr>
                <w:p w14:paraId="0A2C95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山萸肉</w:t>
                  </w:r>
                </w:p>
              </w:tc>
              <w:tc>
                <w:tcPr>
                  <w:tcW w:w="1305" w:type="dxa"/>
                  <w:tcBorders>
                    <w:tl2br w:val="nil"/>
                    <w:tr2bl w:val="nil"/>
                  </w:tcBorders>
                  <w:vAlign w:val="center"/>
                </w:tcPr>
                <w:p w14:paraId="69982F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50</w:t>
                  </w:r>
                </w:p>
              </w:tc>
              <w:tc>
                <w:tcPr>
                  <w:tcW w:w="1170" w:type="dxa"/>
                  <w:tcBorders>
                    <w:tl2br w:val="nil"/>
                    <w:tr2bl w:val="nil"/>
                  </w:tcBorders>
                  <w:vAlign w:val="center"/>
                </w:tcPr>
                <w:p w14:paraId="001876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1</w:t>
                  </w:r>
                </w:p>
              </w:tc>
              <w:tc>
                <w:tcPr>
                  <w:tcW w:w="2183" w:type="dxa"/>
                  <w:tcBorders>
                    <w:tl2br w:val="nil"/>
                    <w:tr2bl w:val="nil"/>
                  </w:tcBorders>
                  <w:vAlign w:val="center"/>
                </w:tcPr>
                <w:p w14:paraId="11FD12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发酵酒</w:t>
                  </w:r>
                </w:p>
              </w:tc>
              <w:tc>
                <w:tcPr>
                  <w:tcW w:w="1496" w:type="dxa"/>
                  <w:tcBorders>
                    <w:tl2br w:val="nil"/>
                    <w:tr2bl w:val="nil"/>
                  </w:tcBorders>
                  <w:vAlign w:val="center"/>
                </w:tcPr>
                <w:p w14:paraId="370336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130</w:t>
                  </w:r>
                </w:p>
              </w:tc>
            </w:tr>
            <w:tr w14:paraId="1F8D4F9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1066" w:type="dxa"/>
                  <w:tcBorders>
                    <w:tl2br w:val="nil"/>
                    <w:tr2bl w:val="nil"/>
                  </w:tcBorders>
                </w:tcPr>
                <w:p w14:paraId="5BE0E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2</w:t>
                  </w:r>
                </w:p>
              </w:tc>
              <w:tc>
                <w:tcPr>
                  <w:tcW w:w="1750" w:type="dxa"/>
                  <w:tcBorders>
                    <w:tl2br w:val="nil"/>
                    <w:tr2bl w:val="nil"/>
                  </w:tcBorders>
                  <w:vAlign w:val="center"/>
                </w:tcPr>
                <w:p w14:paraId="29D782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白砂糖</w:t>
                  </w:r>
                </w:p>
              </w:tc>
              <w:tc>
                <w:tcPr>
                  <w:tcW w:w="1305" w:type="dxa"/>
                  <w:tcBorders>
                    <w:tl2br w:val="nil"/>
                    <w:tr2bl w:val="nil"/>
                  </w:tcBorders>
                  <w:vAlign w:val="center"/>
                </w:tcPr>
                <w:p w14:paraId="230C47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2.04</w:t>
                  </w:r>
                </w:p>
              </w:tc>
              <w:tc>
                <w:tcPr>
                  <w:tcW w:w="1170" w:type="dxa"/>
                  <w:tcBorders>
                    <w:tl2br w:val="nil"/>
                    <w:tr2bl w:val="nil"/>
                  </w:tcBorders>
                  <w:vAlign w:val="center"/>
                </w:tcPr>
                <w:p w14:paraId="0E0FED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2</w:t>
                  </w:r>
                </w:p>
              </w:tc>
              <w:tc>
                <w:tcPr>
                  <w:tcW w:w="2183" w:type="dxa"/>
                  <w:tcBorders>
                    <w:tl2br w:val="nil"/>
                    <w:tr2bl w:val="nil"/>
                  </w:tcBorders>
                  <w:vAlign w:val="center"/>
                </w:tcPr>
                <w:p w14:paraId="6CE499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脱醇酒</w:t>
                  </w:r>
                </w:p>
              </w:tc>
              <w:tc>
                <w:tcPr>
                  <w:tcW w:w="1496" w:type="dxa"/>
                  <w:tcBorders>
                    <w:tl2br w:val="nil"/>
                    <w:tr2bl w:val="nil"/>
                  </w:tcBorders>
                  <w:vAlign w:val="center"/>
                </w:tcPr>
                <w:p w14:paraId="581BAB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50</w:t>
                  </w:r>
                </w:p>
              </w:tc>
            </w:tr>
            <w:tr w14:paraId="78A402C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1066" w:type="dxa"/>
                  <w:tcBorders>
                    <w:tl2br w:val="nil"/>
                    <w:tr2bl w:val="nil"/>
                  </w:tcBorders>
                </w:tcPr>
                <w:p w14:paraId="186527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3</w:t>
                  </w:r>
                </w:p>
              </w:tc>
              <w:tc>
                <w:tcPr>
                  <w:tcW w:w="1750" w:type="dxa"/>
                  <w:tcBorders>
                    <w:tl2br w:val="nil"/>
                    <w:tr2bl w:val="nil"/>
                  </w:tcBorders>
                  <w:vAlign w:val="center"/>
                </w:tcPr>
                <w:p w14:paraId="113906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酵母</w:t>
                  </w:r>
                </w:p>
              </w:tc>
              <w:tc>
                <w:tcPr>
                  <w:tcW w:w="1305" w:type="dxa"/>
                  <w:tcBorders>
                    <w:tl2br w:val="nil"/>
                    <w:tr2bl w:val="nil"/>
                  </w:tcBorders>
                  <w:vAlign w:val="center"/>
                </w:tcPr>
                <w:p w14:paraId="725529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0.079</w:t>
                  </w:r>
                </w:p>
              </w:tc>
              <w:tc>
                <w:tcPr>
                  <w:tcW w:w="1170" w:type="dxa"/>
                  <w:tcBorders>
                    <w:tl2br w:val="nil"/>
                    <w:tr2bl w:val="nil"/>
                  </w:tcBorders>
                  <w:vAlign w:val="center"/>
                </w:tcPr>
                <w:p w14:paraId="1849E0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3</w:t>
                  </w:r>
                </w:p>
              </w:tc>
              <w:tc>
                <w:tcPr>
                  <w:tcW w:w="2183" w:type="dxa"/>
                  <w:tcBorders>
                    <w:tl2br w:val="nil"/>
                    <w:tr2bl w:val="nil"/>
                  </w:tcBorders>
                  <w:vAlign w:val="center"/>
                </w:tcPr>
                <w:p w14:paraId="3FC235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脱醇冷凝粗酒精液</w:t>
                  </w:r>
                </w:p>
              </w:tc>
              <w:tc>
                <w:tcPr>
                  <w:tcW w:w="1496" w:type="dxa"/>
                  <w:tcBorders>
                    <w:tl2br w:val="nil"/>
                    <w:tr2bl w:val="nil"/>
                  </w:tcBorders>
                  <w:vAlign w:val="center"/>
                </w:tcPr>
                <w:p w14:paraId="60270A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20</w:t>
                  </w:r>
                </w:p>
              </w:tc>
            </w:tr>
            <w:tr w14:paraId="6598C05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1066" w:type="dxa"/>
                  <w:tcBorders>
                    <w:tl2br w:val="nil"/>
                    <w:tr2bl w:val="nil"/>
                  </w:tcBorders>
                </w:tcPr>
                <w:p w14:paraId="7C4FB5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4</w:t>
                  </w:r>
                </w:p>
              </w:tc>
              <w:tc>
                <w:tcPr>
                  <w:tcW w:w="1750" w:type="dxa"/>
                  <w:tcBorders>
                    <w:tl2br w:val="nil"/>
                    <w:tr2bl w:val="nil"/>
                  </w:tcBorders>
                  <w:vAlign w:val="center"/>
                </w:tcPr>
                <w:p w14:paraId="53E5AC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蜂蜜</w:t>
                  </w:r>
                </w:p>
              </w:tc>
              <w:tc>
                <w:tcPr>
                  <w:tcW w:w="1305" w:type="dxa"/>
                  <w:tcBorders>
                    <w:tl2br w:val="nil"/>
                    <w:tr2bl w:val="nil"/>
                  </w:tcBorders>
                  <w:vAlign w:val="center"/>
                </w:tcPr>
                <w:p w14:paraId="27FFE1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3</w:t>
                  </w:r>
                </w:p>
              </w:tc>
              <w:tc>
                <w:tcPr>
                  <w:tcW w:w="1170" w:type="dxa"/>
                  <w:tcBorders>
                    <w:tl2br w:val="nil"/>
                    <w:tr2bl w:val="nil"/>
                  </w:tcBorders>
                  <w:vAlign w:val="center"/>
                </w:tcPr>
                <w:p w14:paraId="175788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4</w:t>
                  </w:r>
                </w:p>
              </w:tc>
              <w:tc>
                <w:tcPr>
                  <w:tcW w:w="2183" w:type="dxa"/>
                  <w:tcBorders>
                    <w:tl2br w:val="nil"/>
                    <w:tr2bl w:val="nil"/>
                  </w:tcBorders>
                  <w:vAlign w:val="center"/>
                </w:tcPr>
                <w:p w14:paraId="0ECF2C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废烂果品</w:t>
                  </w:r>
                </w:p>
              </w:tc>
              <w:tc>
                <w:tcPr>
                  <w:tcW w:w="1496" w:type="dxa"/>
                  <w:tcBorders>
                    <w:tl2br w:val="nil"/>
                    <w:tr2bl w:val="nil"/>
                  </w:tcBorders>
                  <w:vAlign w:val="center"/>
                </w:tcPr>
                <w:p w14:paraId="365207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2.975</w:t>
                  </w:r>
                </w:p>
              </w:tc>
            </w:tr>
            <w:tr w14:paraId="5520496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1066" w:type="dxa"/>
                  <w:tcBorders>
                    <w:tl2br w:val="nil"/>
                    <w:tr2bl w:val="nil"/>
                  </w:tcBorders>
                </w:tcPr>
                <w:p w14:paraId="60B6C4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5</w:t>
                  </w:r>
                </w:p>
              </w:tc>
              <w:tc>
                <w:tcPr>
                  <w:tcW w:w="1750" w:type="dxa"/>
                  <w:tcBorders>
                    <w:tl2br w:val="nil"/>
                    <w:tr2bl w:val="nil"/>
                  </w:tcBorders>
                  <w:vAlign w:val="center"/>
                </w:tcPr>
                <w:p w14:paraId="30BEB4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焦亚硫酸钾</w:t>
                  </w:r>
                </w:p>
              </w:tc>
              <w:tc>
                <w:tcPr>
                  <w:tcW w:w="1305" w:type="dxa"/>
                  <w:tcBorders>
                    <w:tl2br w:val="nil"/>
                    <w:tr2bl w:val="nil"/>
                  </w:tcBorders>
                  <w:vAlign w:val="center"/>
                </w:tcPr>
                <w:p w14:paraId="2BE7D8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0.05</w:t>
                  </w:r>
                </w:p>
              </w:tc>
              <w:tc>
                <w:tcPr>
                  <w:tcW w:w="1170" w:type="dxa"/>
                  <w:tcBorders>
                    <w:tl2br w:val="nil"/>
                    <w:tr2bl w:val="nil"/>
                  </w:tcBorders>
                  <w:vAlign w:val="center"/>
                </w:tcPr>
                <w:p w14:paraId="2801A2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5</w:t>
                  </w:r>
                </w:p>
              </w:tc>
              <w:tc>
                <w:tcPr>
                  <w:tcW w:w="2183" w:type="dxa"/>
                  <w:tcBorders>
                    <w:tl2br w:val="nil"/>
                    <w:tr2bl w:val="nil"/>
                  </w:tcBorders>
                  <w:vAlign w:val="center"/>
                </w:tcPr>
                <w:p w14:paraId="70D44D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过滤残渣</w:t>
                  </w:r>
                </w:p>
              </w:tc>
              <w:tc>
                <w:tcPr>
                  <w:tcW w:w="1496" w:type="dxa"/>
                  <w:tcBorders>
                    <w:tl2br w:val="nil"/>
                    <w:tr2bl w:val="nil"/>
                  </w:tcBorders>
                  <w:vAlign w:val="center"/>
                </w:tcPr>
                <w:p w14:paraId="3D9989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13</w:t>
                  </w:r>
                </w:p>
              </w:tc>
            </w:tr>
            <w:tr w14:paraId="2CF5E17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1066" w:type="dxa"/>
                  <w:tcBorders>
                    <w:tl2br w:val="nil"/>
                    <w:tr2bl w:val="nil"/>
                  </w:tcBorders>
                </w:tcPr>
                <w:p w14:paraId="707DEC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6</w:t>
                  </w:r>
                </w:p>
              </w:tc>
              <w:tc>
                <w:tcPr>
                  <w:tcW w:w="1750" w:type="dxa"/>
                  <w:tcBorders>
                    <w:tl2br w:val="nil"/>
                    <w:tr2bl w:val="nil"/>
                  </w:tcBorders>
                  <w:vAlign w:val="center"/>
                </w:tcPr>
                <w:p w14:paraId="4ECAE8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发酵用水</w:t>
                  </w:r>
                </w:p>
              </w:tc>
              <w:tc>
                <w:tcPr>
                  <w:tcW w:w="1305" w:type="dxa"/>
                  <w:tcBorders>
                    <w:tl2br w:val="nil"/>
                    <w:tr2bl w:val="nil"/>
                  </w:tcBorders>
                  <w:vAlign w:val="center"/>
                </w:tcPr>
                <w:p w14:paraId="6AC758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161</w:t>
                  </w:r>
                </w:p>
              </w:tc>
              <w:tc>
                <w:tcPr>
                  <w:tcW w:w="1170" w:type="dxa"/>
                  <w:tcBorders>
                    <w:tl2br w:val="nil"/>
                    <w:tr2bl w:val="nil"/>
                  </w:tcBorders>
                  <w:vAlign w:val="center"/>
                </w:tcPr>
                <w:p w14:paraId="2F3AE0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6</w:t>
                  </w:r>
                </w:p>
              </w:tc>
              <w:tc>
                <w:tcPr>
                  <w:tcW w:w="2183" w:type="dxa"/>
                  <w:tcBorders>
                    <w:tl2br w:val="nil"/>
                    <w:tr2bl w:val="nil"/>
                  </w:tcBorders>
                  <w:vAlign w:val="center"/>
                </w:tcPr>
                <w:p w14:paraId="492804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发酵废气</w:t>
                  </w:r>
                </w:p>
              </w:tc>
              <w:tc>
                <w:tcPr>
                  <w:tcW w:w="1496" w:type="dxa"/>
                  <w:tcBorders>
                    <w:tl2br w:val="nil"/>
                    <w:tr2bl w:val="nil"/>
                  </w:tcBorders>
                  <w:vAlign w:val="center"/>
                </w:tcPr>
                <w:p w14:paraId="3AFA73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0.095</w:t>
                  </w:r>
                </w:p>
              </w:tc>
            </w:tr>
            <w:tr w14:paraId="5F872BC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1066" w:type="dxa"/>
                  <w:tcBorders>
                    <w:tl2br w:val="nil"/>
                    <w:tr2bl w:val="nil"/>
                  </w:tcBorders>
                </w:tcPr>
                <w:p w14:paraId="5BAADA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p>
              </w:tc>
              <w:tc>
                <w:tcPr>
                  <w:tcW w:w="1750" w:type="dxa"/>
                  <w:tcBorders>
                    <w:tl2br w:val="nil"/>
                    <w:tr2bl w:val="nil"/>
                  </w:tcBorders>
                </w:tcPr>
                <w:p w14:paraId="2196D0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p>
              </w:tc>
              <w:tc>
                <w:tcPr>
                  <w:tcW w:w="1305" w:type="dxa"/>
                  <w:tcBorders>
                    <w:tl2br w:val="nil"/>
                    <w:tr2bl w:val="nil"/>
                  </w:tcBorders>
                </w:tcPr>
                <w:p w14:paraId="2BC1B3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p>
              </w:tc>
              <w:tc>
                <w:tcPr>
                  <w:tcW w:w="1170" w:type="dxa"/>
                  <w:tcBorders>
                    <w:tl2br w:val="nil"/>
                    <w:tr2bl w:val="nil"/>
                  </w:tcBorders>
                  <w:vAlign w:val="center"/>
                </w:tcPr>
                <w:p w14:paraId="2A264E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7</w:t>
                  </w:r>
                </w:p>
              </w:tc>
              <w:tc>
                <w:tcPr>
                  <w:tcW w:w="2183" w:type="dxa"/>
                  <w:tcBorders>
                    <w:tl2br w:val="nil"/>
                    <w:tr2bl w:val="nil"/>
                  </w:tcBorders>
                  <w:vAlign w:val="center"/>
                </w:tcPr>
                <w:p w14:paraId="767A1C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脱醇废气</w:t>
                  </w:r>
                </w:p>
              </w:tc>
              <w:tc>
                <w:tcPr>
                  <w:tcW w:w="1496" w:type="dxa"/>
                  <w:tcBorders>
                    <w:tl2br w:val="nil"/>
                    <w:tr2bl w:val="nil"/>
                  </w:tcBorders>
                  <w:vAlign w:val="center"/>
                </w:tcPr>
                <w:p w14:paraId="1E5751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val="en-US" w:eastAsia="zh-CN"/>
                    </w:rPr>
                    <w:t>0.099</w:t>
                  </w:r>
                </w:p>
              </w:tc>
            </w:tr>
            <w:tr w14:paraId="7D00BF8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2816" w:type="dxa"/>
                  <w:gridSpan w:val="2"/>
                  <w:tcBorders>
                    <w:tl2br w:val="nil"/>
                    <w:tr2bl w:val="nil"/>
                  </w:tcBorders>
                </w:tcPr>
                <w:p w14:paraId="462CAA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合计</w:t>
                  </w:r>
                </w:p>
              </w:tc>
              <w:tc>
                <w:tcPr>
                  <w:tcW w:w="1305" w:type="dxa"/>
                  <w:tcBorders>
                    <w:tl2br w:val="nil"/>
                    <w:tr2bl w:val="nil"/>
                  </w:tcBorders>
                </w:tcPr>
                <w:p w14:paraId="703428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216.169</w:t>
                  </w:r>
                </w:p>
              </w:tc>
              <w:tc>
                <w:tcPr>
                  <w:tcW w:w="3353" w:type="dxa"/>
                  <w:gridSpan w:val="2"/>
                  <w:tcBorders>
                    <w:tl2br w:val="nil"/>
                    <w:tr2bl w:val="nil"/>
                  </w:tcBorders>
                </w:tcPr>
                <w:p w14:paraId="549DF1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合计</w:t>
                  </w:r>
                </w:p>
              </w:tc>
              <w:tc>
                <w:tcPr>
                  <w:tcW w:w="1496" w:type="dxa"/>
                  <w:tcBorders>
                    <w:tl2br w:val="nil"/>
                    <w:tr2bl w:val="nil"/>
                  </w:tcBorders>
                </w:tcPr>
                <w:p w14:paraId="53A232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216.169</w:t>
                  </w:r>
                </w:p>
              </w:tc>
            </w:tr>
          </w:tbl>
          <w:p w14:paraId="34949266">
            <w:pPr>
              <w:ind w:firstLine="482"/>
              <w:rPr>
                <w:color w:val="auto"/>
              </w:rPr>
            </w:pPr>
          </w:p>
        </w:tc>
      </w:tr>
      <w:tr w14:paraId="3BDF89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51" w:hRule="atLeast"/>
        </w:trPr>
        <w:tc>
          <w:tcPr>
            <w:tcW w:w="806" w:type="dxa"/>
            <w:noWrap w:val="0"/>
            <w:vAlign w:val="center"/>
          </w:tcPr>
          <w:p w14:paraId="435D11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highlight w:val="none"/>
              </w:rPr>
            </w:pPr>
            <w:r>
              <w:rPr>
                <w:rFonts w:hint="eastAsia" w:ascii="Times New Roman" w:hAnsi="Times New Roman" w:eastAsia="宋体"/>
                <w:color w:val="auto"/>
                <w:highlight w:val="none"/>
              </w:rPr>
              <w:t>工艺流程和产排污环节</w:t>
            </w:r>
          </w:p>
        </w:tc>
        <w:tc>
          <w:tcPr>
            <w:tcW w:w="9196" w:type="dxa"/>
            <w:noWrap w:val="0"/>
            <w:vAlign w:val="top"/>
          </w:tcPr>
          <w:p w14:paraId="49787B5C">
            <w:pPr>
              <w:ind w:firstLine="482"/>
              <w:rPr>
                <w:rFonts w:ascii="Times New Roman" w:hAnsi="Times New Roman" w:eastAsia="宋体"/>
                <w:b/>
                <w:bCs/>
                <w:color w:val="auto"/>
                <w:kern w:val="0"/>
                <w:highlight w:val="none"/>
              </w:rPr>
            </w:pPr>
            <w:r>
              <w:rPr>
                <w:rFonts w:hint="eastAsia" w:ascii="Times New Roman" w:hAnsi="Times New Roman" w:eastAsia="宋体"/>
                <w:b/>
                <w:bCs/>
                <w:color w:val="auto"/>
                <w:kern w:val="0"/>
                <w:highlight w:val="none"/>
                <w:lang w:val="en-US" w:eastAsia="zh-CN"/>
              </w:rPr>
              <w:t>2.</w:t>
            </w:r>
            <w:r>
              <w:rPr>
                <w:rFonts w:hint="eastAsia"/>
                <w:b/>
                <w:bCs/>
                <w:color w:val="auto"/>
                <w:kern w:val="0"/>
                <w:highlight w:val="none"/>
                <w:lang w:val="en-US" w:eastAsia="zh-CN"/>
              </w:rPr>
              <w:t>10</w:t>
            </w:r>
            <w:r>
              <w:rPr>
                <w:rFonts w:ascii="Times New Roman" w:hAnsi="Times New Roman" w:eastAsia="宋体"/>
                <w:b/>
                <w:bCs/>
                <w:color w:val="auto"/>
                <w:kern w:val="0"/>
                <w:highlight w:val="none"/>
              </w:rPr>
              <w:t>施工期</w:t>
            </w:r>
          </w:p>
          <w:p w14:paraId="3BFC44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cs="Times New Roman"/>
                <w:color w:val="auto"/>
                <w:sz w:val="24"/>
                <w:szCs w:val="24"/>
                <w:highlight w:val="none"/>
                <w:lang w:val="en-US" w:eastAsia="zh-CN"/>
              </w:rPr>
            </w:pPr>
            <w:r>
              <w:rPr>
                <w:rFonts w:ascii="Times New Roman" w:hAnsi="Times New Roman" w:eastAsia="宋体" w:cs="Times New Roman"/>
                <w:color w:val="auto"/>
                <w:kern w:val="2"/>
                <w:sz w:val="24"/>
                <w:szCs w:val="24"/>
                <w:highlight w:val="none"/>
                <w:lang w:val="en-US" w:eastAsia="zh-CN" w:bidi="ar-SA"/>
              </w:rPr>
              <w:t>本项目租赁</w:t>
            </w:r>
            <w:r>
              <w:rPr>
                <w:rFonts w:hint="eastAsia" w:cs="Times New Roman"/>
                <w:color w:val="auto"/>
                <w:lang w:val="en-US" w:eastAsia="zh-CN"/>
              </w:rPr>
              <w:t>佛坪县秦泉饮料食品有限责任公司现有厂区</w:t>
            </w:r>
            <w:r>
              <w:rPr>
                <w:rFonts w:hint="eastAsia"/>
                <w:color w:val="auto"/>
                <w:sz w:val="24"/>
                <w:highlight w:val="none"/>
              </w:rPr>
              <w:t>，</w:t>
            </w:r>
            <w:r>
              <w:rPr>
                <w:rFonts w:hint="eastAsia" w:cs="Times New Roman"/>
                <w:color w:val="auto"/>
                <w:sz w:val="24"/>
                <w:szCs w:val="24"/>
                <w:highlight w:val="none"/>
                <w:lang w:val="en-US" w:eastAsia="zh-CN"/>
              </w:rPr>
              <w:t>山茱萸发酵酒生产线已于2022年9月开工建设，2024年8月建成</w:t>
            </w:r>
            <w:r>
              <w:rPr>
                <w:rFonts w:hint="eastAsia"/>
                <w:color w:val="auto"/>
                <w:sz w:val="24"/>
                <w:highlight w:val="none"/>
                <w:lang w:eastAsia="zh-CN"/>
              </w:rPr>
              <w:t>，</w:t>
            </w:r>
            <w:r>
              <w:rPr>
                <w:rFonts w:hint="eastAsia"/>
                <w:color w:val="auto"/>
                <w:sz w:val="24"/>
                <w:highlight w:val="none"/>
                <w:lang w:val="en-US" w:eastAsia="zh-CN"/>
              </w:rPr>
              <w:t>脱醇酒生产线利用现有厂区，设备已进厂，</w:t>
            </w:r>
            <w:r>
              <w:rPr>
                <w:rFonts w:hint="eastAsia" w:cs="Times New Roman"/>
                <w:color w:val="auto"/>
                <w:sz w:val="24"/>
                <w:szCs w:val="24"/>
                <w:highlight w:val="none"/>
                <w:lang w:val="en-US" w:eastAsia="zh-CN"/>
              </w:rPr>
              <w:t>不存在土建施工，主要为脱醇酒设备安装产生的噪声、废包装材料以及施工人员产生的生活污水、生活垃圾。</w:t>
            </w:r>
          </w:p>
          <w:p w14:paraId="315BDD4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2" w:firstLineChars="200"/>
              <w:textAlignment w:val="auto"/>
              <w:rPr>
                <w:rFonts w:hint="eastAsia" w:ascii="Times New Roman" w:hAnsi="Times New Roman" w:eastAsia="宋体"/>
                <w:b/>
                <w:color w:val="auto"/>
                <w:sz w:val="24"/>
                <w:szCs w:val="24"/>
                <w:highlight w:val="none"/>
                <w:lang w:val="en-US" w:eastAsia="zh-CN"/>
              </w:rPr>
            </w:pPr>
            <w:r>
              <w:rPr>
                <w:rFonts w:hint="eastAsia" w:ascii="Times New Roman" w:hAnsi="Times New Roman" w:eastAsia="宋体"/>
                <w:b/>
                <w:color w:val="auto"/>
                <w:sz w:val="24"/>
                <w:szCs w:val="24"/>
                <w:highlight w:val="none"/>
                <w:lang w:val="en-US" w:eastAsia="zh-CN"/>
              </w:rPr>
              <w:t>2.1</w:t>
            </w:r>
            <w:r>
              <w:rPr>
                <w:rFonts w:hint="eastAsia"/>
                <w:b/>
                <w:color w:val="auto"/>
                <w:sz w:val="24"/>
                <w:szCs w:val="24"/>
                <w:highlight w:val="none"/>
                <w:lang w:val="en-US" w:eastAsia="zh-CN"/>
              </w:rPr>
              <w:t>1</w:t>
            </w:r>
            <w:r>
              <w:rPr>
                <w:rFonts w:hint="eastAsia" w:ascii="Times New Roman" w:hAnsi="Times New Roman" w:eastAsia="宋体"/>
                <w:b/>
                <w:color w:val="auto"/>
                <w:sz w:val="24"/>
                <w:szCs w:val="24"/>
                <w:highlight w:val="none"/>
                <w:lang w:val="en-US" w:eastAsia="zh-CN"/>
              </w:rPr>
              <w:t>运营期主要污染工序</w:t>
            </w:r>
          </w:p>
          <w:p w14:paraId="6F2D1B8C">
            <w:pPr>
              <w:bidi w:val="0"/>
              <w:rPr>
                <w:rFonts w:hint="default"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 xml:space="preserve">2.11.1 </w:t>
            </w:r>
            <w:r>
              <w:rPr>
                <w:rFonts w:hint="eastAsia" w:ascii="Times New Roman" w:hAnsi="Times New Roman" w:eastAsia="宋体" w:cs="Times New Roman"/>
                <w:b/>
                <w:bCs/>
                <w:color w:val="auto"/>
                <w:highlight w:val="none"/>
                <w:lang w:val="en-US" w:eastAsia="zh-CN"/>
              </w:rPr>
              <w:t>本项目生产工艺流程简述及图示</w:t>
            </w:r>
          </w:p>
          <w:p w14:paraId="6E955241">
            <w:pPr>
              <w:spacing w:line="360" w:lineRule="auto"/>
              <w:ind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本项目工艺流程及产污环节如下：</w:t>
            </w:r>
          </w:p>
          <w:p w14:paraId="02979D0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drawing>
                <wp:inline distT="0" distB="0" distL="114300" distR="114300">
                  <wp:extent cx="2742565" cy="3917315"/>
                  <wp:effectExtent l="0" t="0" r="0" b="0"/>
                  <wp:docPr id="2" name="ECB019B1-382A-4266-B25C-5B523AA43C14-2" descr="C:/Users/Administrator/AppData/Local/Temp/wps.hyztRp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B019B1-382A-4266-B25C-5B523AA43C14-2" descr="C:/Users/Administrator/AppData/Local/Temp/wps.hyztRpwps"/>
                          <pic:cNvPicPr>
                            <a:picLocks noChangeAspect="1"/>
                          </pic:cNvPicPr>
                        </pic:nvPicPr>
                        <pic:blipFill>
                          <a:blip r:embed="rId14"/>
                          <a:stretch>
                            <a:fillRect/>
                          </a:stretch>
                        </pic:blipFill>
                        <pic:spPr>
                          <a:xfrm>
                            <a:off x="0" y="0"/>
                            <a:ext cx="2742565" cy="3917315"/>
                          </a:xfrm>
                          <a:prstGeom prst="rect">
                            <a:avLst/>
                          </a:prstGeom>
                        </pic:spPr>
                      </pic:pic>
                    </a:graphicData>
                  </a:graphic>
                </wp:inline>
              </w:drawing>
            </w:r>
          </w:p>
          <w:p w14:paraId="0E892FC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图</w:t>
            </w:r>
            <w:r>
              <w:rPr>
                <w:rFonts w:hint="default" w:ascii="Times New Roman" w:hAnsi="Times New Roman" w:eastAsia="宋体" w:cs="Times New Roman"/>
                <w:b/>
                <w:bCs/>
                <w:color w:val="auto"/>
                <w:sz w:val="21"/>
                <w:szCs w:val="21"/>
                <w:lang w:val="en-US" w:eastAsia="zh-CN"/>
              </w:rPr>
              <w:t>2</w:t>
            </w:r>
            <w:r>
              <w:rPr>
                <w:rFonts w:hint="eastAsia" w:ascii="Times New Roman" w:hAnsi="Times New Roman" w:eastAsia="宋体" w:cs="Times New Roman"/>
                <w:b/>
                <w:bCs/>
                <w:color w:val="auto"/>
                <w:sz w:val="21"/>
                <w:szCs w:val="21"/>
                <w:lang w:val="en-US" w:eastAsia="zh-CN"/>
              </w:rPr>
              <w:t>-2  本项目生产工艺流程及产污环节图</w:t>
            </w:r>
          </w:p>
          <w:p w14:paraId="7C28B8E1">
            <w:pPr>
              <w:spacing w:line="360" w:lineRule="auto"/>
              <w:ind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本项目生产工艺流程简述：</w:t>
            </w:r>
          </w:p>
          <w:p w14:paraId="4CFC32F5">
            <w:pPr>
              <w:spacing w:line="360" w:lineRule="auto"/>
              <w:ind w:firstLine="480" w:firstLineChars="200"/>
              <w:rPr>
                <w:rFonts w:hint="eastAsia" w:ascii="Times New Roman" w:hAnsi="Times New Roman" w:eastAsia="宋体" w:cs="Times New Roman"/>
                <w:b w:val="0"/>
                <w:bCs/>
                <w:color w:val="auto"/>
                <w:kern w:val="0"/>
                <w:position w:val="6"/>
                <w:sz w:val="24"/>
                <w:lang w:val="en-US" w:eastAsia="zh-CN"/>
              </w:rPr>
            </w:pPr>
            <w:r>
              <w:rPr>
                <w:rFonts w:hint="eastAsia" w:ascii="Times New Roman" w:hAnsi="Times New Roman" w:eastAsia="宋体" w:cs="Times New Roman"/>
                <w:b w:val="0"/>
                <w:bCs/>
                <w:color w:val="auto"/>
                <w:kern w:val="0"/>
                <w:position w:val="6"/>
                <w:sz w:val="24"/>
                <w:lang w:val="en-US" w:eastAsia="zh-CN"/>
              </w:rPr>
              <w:t>（1）原料领用、精选</w:t>
            </w:r>
          </w:p>
          <w:p w14:paraId="27784B54">
            <w:pPr>
              <w:spacing w:line="360" w:lineRule="auto"/>
              <w:ind w:firstLine="480" w:firstLineChars="200"/>
              <w:rPr>
                <w:rFonts w:hint="eastAsia" w:ascii="Times New Roman" w:hAnsi="Times New Roman" w:eastAsia="宋体" w:cs="Times New Roman"/>
                <w:b w:val="0"/>
                <w:bCs/>
                <w:color w:val="auto"/>
                <w:kern w:val="0"/>
                <w:position w:val="6"/>
                <w:sz w:val="24"/>
                <w:lang w:val="en-US" w:eastAsia="zh-CN"/>
              </w:rPr>
            </w:pPr>
            <w:r>
              <w:rPr>
                <w:rFonts w:hint="eastAsia" w:ascii="Times New Roman" w:hAnsi="Times New Roman" w:eastAsia="宋体" w:cs="Times New Roman"/>
                <w:b w:val="0"/>
                <w:bCs/>
                <w:color w:val="auto"/>
                <w:kern w:val="0"/>
                <w:position w:val="6"/>
                <w:sz w:val="24"/>
                <w:lang w:val="en-US" w:eastAsia="zh-CN"/>
              </w:rPr>
              <w:t>项目原料为山萸肉，属于干果，不需要进行清洗，外购后暂存于原料暂存间，储存方式为袋装，在发酵之前经人工精选后，将发酵需要的山萸肉暂存于</w:t>
            </w:r>
            <w:r>
              <w:rPr>
                <w:rFonts w:hint="eastAsia" w:cs="Times New Roman"/>
                <w:b w:val="0"/>
                <w:bCs/>
                <w:color w:val="auto"/>
                <w:kern w:val="0"/>
                <w:position w:val="6"/>
                <w:sz w:val="24"/>
                <w:lang w:val="en-US" w:eastAsia="zh-CN"/>
              </w:rPr>
              <w:t>原料精选间</w:t>
            </w:r>
            <w:r>
              <w:rPr>
                <w:rFonts w:hint="eastAsia" w:ascii="Times New Roman" w:hAnsi="Times New Roman" w:eastAsia="宋体" w:cs="Times New Roman"/>
                <w:b w:val="0"/>
                <w:bCs/>
                <w:color w:val="auto"/>
                <w:kern w:val="0"/>
                <w:position w:val="6"/>
                <w:sz w:val="24"/>
                <w:lang w:val="en-US" w:eastAsia="zh-CN"/>
              </w:rPr>
              <w:t>，期间会产生废包装</w:t>
            </w:r>
            <w:r>
              <w:rPr>
                <w:rFonts w:hint="eastAsia" w:cs="Times New Roman"/>
                <w:b w:val="0"/>
                <w:bCs/>
                <w:color w:val="auto"/>
                <w:kern w:val="0"/>
                <w:position w:val="6"/>
                <w:sz w:val="24"/>
                <w:lang w:val="en-US" w:eastAsia="zh-CN"/>
              </w:rPr>
              <w:t>材料、废烂果品</w:t>
            </w:r>
            <w:r>
              <w:rPr>
                <w:rFonts w:hint="eastAsia" w:ascii="Times New Roman" w:hAnsi="Times New Roman" w:eastAsia="宋体" w:cs="Times New Roman"/>
                <w:b w:val="0"/>
                <w:bCs/>
                <w:color w:val="auto"/>
                <w:kern w:val="0"/>
                <w:position w:val="6"/>
                <w:sz w:val="24"/>
                <w:lang w:val="en-US" w:eastAsia="zh-CN"/>
              </w:rPr>
              <w:t>。</w:t>
            </w:r>
          </w:p>
          <w:p w14:paraId="28740359">
            <w:pPr>
              <w:spacing w:line="360" w:lineRule="auto"/>
              <w:ind w:firstLine="480" w:firstLineChars="200"/>
              <w:rPr>
                <w:rFonts w:hint="default" w:ascii="Times New Roman" w:hAnsi="Times New Roman" w:eastAsia="宋体" w:cs="Times New Roman"/>
                <w:b w:val="0"/>
                <w:bCs/>
                <w:color w:val="auto"/>
                <w:kern w:val="0"/>
                <w:position w:val="6"/>
                <w:sz w:val="24"/>
                <w:lang w:val="en-US" w:eastAsia="zh-CN"/>
              </w:rPr>
            </w:pPr>
            <w:r>
              <w:rPr>
                <w:rFonts w:hint="eastAsia" w:ascii="Times New Roman" w:hAnsi="Times New Roman" w:eastAsia="宋体" w:cs="Times New Roman"/>
                <w:b w:val="0"/>
                <w:bCs/>
                <w:color w:val="auto"/>
                <w:kern w:val="0"/>
                <w:position w:val="6"/>
                <w:sz w:val="24"/>
                <w:lang w:val="en-US" w:eastAsia="zh-CN"/>
              </w:rPr>
              <w:t>（2）调整糖度、发酵</w:t>
            </w:r>
          </w:p>
          <w:p w14:paraId="26E65532">
            <w:pPr>
              <w:spacing w:line="360" w:lineRule="auto"/>
              <w:ind w:firstLine="480" w:firstLineChars="200"/>
              <w:rPr>
                <w:rFonts w:hint="eastAsia" w:ascii="Times New Roman" w:hAnsi="Times New Roman" w:eastAsia="宋体" w:cs="Times New Roman"/>
                <w:b w:val="0"/>
                <w:bCs/>
                <w:color w:val="auto"/>
                <w:kern w:val="0"/>
                <w:position w:val="6"/>
                <w:sz w:val="24"/>
                <w:lang w:val="en-US" w:eastAsia="zh-CN"/>
              </w:rPr>
            </w:pPr>
            <w:r>
              <w:rPr>
                <w:rFonts w:hint="eastAsia" w:ascii="Times New Roman" w:hAnsi="Times New Roman" w:eastAsia="宋体" w:cs="Times New Roman"/>
                <w:b w:val="0"/>
                <w:bCs/>
                <w:color w:val="auto"/>
                <w:kern w:val="0"/>
                <w:position w:val="6"/>
                <w:sz w:val="24"/>
                <w:lang w:val="en-US" w:eastAsia="zh-CN"/>
              </w:rPr>
              <w:t>入缸前必须用水将发酵罐清洗干净，严禁缸底留有余水，清洗干净后，将精选的山萸肉倒入清洗干净的发酵罐中，按照入罐中的果肉数量，</w:t>
            </w:r>
            <w:r>
              <w:rPr>
                <w:rFonts w:hint="eastAsia" w:cs="Times New Roman"/>
                <w:b w:val="0"/>
                <w:bCs/>
                <w:color w:val="auto"/>
                <w:kern w:val="0"/>
                <w:position w:val="6"/>
                <w:sz w:val="24"/>
                <w:lang w:val="en-US" w:eastAsia="zh-CN"/>
              </w:rPr>
              <w:t>按山萸肉：水约</w:t>
            </w:r>
            <w:r>
              <w:rPr>
                <w:rFonts w:hint="eastAsia" w:ascii="Times New Roman" w:hAnsi="Times New Roman" w:eastAsia="宋体" w:cs="Times New Roman"/>
                <w:b w:val="0"/>
                <w:bCs/>
                <w:color w:val="auto"/>
                <w:kern w:val="0"/>
                <w:position w:val="6"/>
                <w:sz w:val="24"/>
                <w:lang w:val="en-US" w:eastAsia="zh-CN"/>
              </w:rPr>
              <w:t>1/</w:t>
            </w:r>
            <w:r>
              <w:rPr>
                <w:rFonts w:hint="eastAsia" w:cs="Times New Roman"/>
                <w:b w:val="0"/>
                <w:bCs/>
                <w:color w:val="auto"/>
                <w:kern w:val="0"/>
                <w:position w:val="6"/>
                <w:sz w:val="24"/>
                <w:lang w:val="en-US" w:eastAsia="zh-CN"/>
              </w:rPr>
              <w:t>3的比例</w:t>
            </w:r>
            <w:r>
              <w:rPr>
                <w:rFonts w:hint="eastAsia" w:ascii="Times New Roman" w:hAnsi="Times New Roman" w:eastAsia="宋体" w:cs="Times New Roman"/>
                <w:b w:val="0"/>
                <w:bCs/>
                <w:color w:val="auto"/>
                <w:kern w:val="0"/>
                <w:position w:val="6"/>
                <w:sz w:val="24"/>
                <w:lang w:val="en-US" w:eastAsia="zh-CN"/>
              </w:rPr>
              <w:t>加入纯水浸润72小时，用白砂糖将糖度调整至15g/kg，加入万分之一的酵母菌，搅拌均匀后开始发酵，发酵周期90天。</w:t>
            </w:r>
            <w:r>
              <w:rPr>
                <w:rFonts w:hint="eastAsia" w:ascii="Times New Roman" w:hAnsi="Times New Roman" w:eastAsia="宋体" w:cs="Times New Roman"/>
                <w:b w:val="0"/>
                <w:bCs/>
                <w:color w:val="FF0000"/>
                <w:kern w:val="0"/>
                <w:position w:val="6"/>
                <w:sz w:val="24"/>
                <w:lang w:val="en-US" w:eastAsia="zh-CN"/>
              </w:rPr>
              <w:t>每二天进行一次</w:t>
            </w:r>
            <w:r>
              <w:rPr>
                <w:rFonts w:hint="eastAsia" w:cs="Times New Roman"/>
                <w:b w:val="0"/>
                <w:bCs/>
                <w:color w:val="FF0000"/>
                <w:kern w:val="0"/>
                <w:position w:val="6"/>
                <w:sz w:val="24"/>
                <w:lang w:val="en-US" w:eastAsia="zh-CN"/>
              </w:rPr>
              <w:t>内</w:t>
            </w:r>
            <w:r>
              <w:rPr>
                <w:rFonts w:hint="eastAsia" w:ascii="Times New Roman" w:hAnsi="Times New Roman" w:eastAsia="宋体" w:cs="Times New Roman"/>
                <w:b w:val="0"/>
                <w:bCs/>
                <w:color w:val="FF0000"/>
                <w:kern w:val="0"/>
                <w:position w:val="6"/>
                <w:sz w:val="24"/>
                <w:lang w:val="en-US" w:eastAsia="zh-CN"/>
              </w:rPr>
              <w:t>循环，</w:t>
            </w:r>
            <w:r>
              <w:rPr>
                <w:rFonts w:hint="eastAsia" w:ascii="Times New Roman" w:hAnsi="Times New Roman" w:eastAsia="宋体" w:cs="Times New Roman"/>
                <w:b w:val="0"/>
                <w:bCs/>
                <w:color w:val="auto"/>
                <w:kern w:val="0"/>
                <w:position w:val="6"/>
                <w:sz w:val="24"/>
                <w:lang w:val="en-US" w:eastAsia="zh-CN"/>
              </w:rPr>
              <w:t>使发酵罐发酵均匀散热。发酵温度控制在18~24℃，入罐的材料要逐日记录入温、地温、室温、日期、个数等</w:t>
            </w:r>
            <w:r>
              <w:rPr>
                <w:rFonts w:hint="eastAsia" w:cs="Times New Roman"/>
                <w:b w:val="0"/>
                <w:bCs/>
                <w:color w:val="auto"/>
                <w:kern w:val="0"/>
                <w:position w:val="6"/>
                <w:sz w:val="24"/>
                <w:lang w:val="en-US" w:eastAsia="zh-CN"/>
              </w:rPr>
              <w:t>。</w:t>
            </w:r>
            <w:r>
              <w:rPr>
                <w:rFonts w:hint="eastAsia" w:ascii="Times New Roman" w:hAnsi="Times New Roman" w:eastAsia="宋体" w:cs="Times New Roman"/>
                <w:b w:val="0"/>
                <w:bCs/>
                <w:color w:val="auto"/>
                <w:kern w:val="0"/>
                <w:position w:val="6"/>
                <w:sz w:val="24"/>
                <w:lang w:val="en-US" w:eastAsia="zh-CN"/>
              </w:rPr>
              <w:t>期间会产生发酵废气</w:t>
            </w:r>
            <w:r>
              <w:rPr>
                <w:rFonts w:hint="eastAsia" w:cs="Times New Roman"/>
                <w:b w:val="0"/>
                <w:bCs/>
                <w:color w:val="auto"/>
                <w:kern w:val="0"/>
                <w:position w:val="6"/>
                <w:sz w:val="24"/>
                <w:lang w:val="en-US" w:eastAsia="zh-CN"/>
              </w:rPr>
              <w:t>、设备清洗废水</w:t>
            </w:r>
            <w:r>
              <w:rPr>
                <w:rFonts w:hint="eastAsia" w:ascii="Times New Roman" w:hAnsi="Times New Roman" w:eastAsia="宋体" w:cs="Times New Roman"/>
                <w:b w:val="0"/>
                <w:bCs/>
                <w:color w:val="auto"/>
                <w:kern w:val="0"/>
                <w:position w:val="6"/>
                <w:sz w:val="24"/>
                <w:lang w:val="en-US" w:eastAsia="zh-CN"/>
              </w:rPr>
              <w:t>。</w:t>
            </w:r>
          </w:p>
          <w:p w14:paraId="594E5081">
            <w:pPr>
              <w:numPr>
                <w:ilvl w:val="0"/>
                <w:numId w:val="2"/>
              </w:numPr>
              <w:spacing w:line="360" w:lineRule="auto"/>
              <w:ind w:firstLine="480" w:firstLineChars="200"/>
              <w:rPr>
                <w:rFonts w:hint="eastAsia" w:ascii="Times New Roman" w:hAnsi="Times New Roman" w:eastAsia="宋体" w:cs="Times New Roman"/>
                <w:b w:val="0"/>
                <w:bCs/>
                <w:color w:val="auto"/>
                <w:kern w:val="0"/>
                <w:position w:val="6"/>
                <w:sz w:val="24"/>
                <w:lang w:val="en-US" w:eastAsia="zh-CN"/>
              </w:rPr>
            </w:pPr>
            <w:r>
              <w:rPr>
                <w:rFonts w:hint="eastAsia" w:ascii="Times New Roman" w:hAnsi="Times New Roman" w:eastAsia="宋体" w:cs="Times New Roman"/>
                <w:b w:val="0"/>
                <w:bCs/>
                <w:color w:val="auto"/>
                <w:kern w:val="0"/>
                <w:position w:val="6"/>
                <w:sz w:val="24"/>
                <w:lang w:val="en-US" w:eastAsia="zh-CN"/>
              </w:rPr>
              <w:t>粗滤</w:t>
            </w:r>
          </w:p>
          <w:p w14:paraId="07A56EF1">
            <w:pPr>
              <w:spacing w:line="360" w:lineRule="auto"/>
              <w:ind w:firstLine="480" w:firstLineChars="200"/>
              <w:rPr>
                <w:rFonts w:hint="eastAsia" w:ascii="Times New Roman" w:hAnsi="Times New Roman" w:eastAsia="宋体" w:cs="Times New Roman"/>
                <w:b w:val="0"/>
                <w:bCs/>
                <w:color w:val="auto"/>
                <w:kern w:val="0"/>
                <w:position w:val="6"/>
                <w:sz w:val="24"/>
                <w:lang w:val="en-US" w:eastAsia="zh-CN"/>
              </w:rPr>
            </w:pPr>
            <w:r>
              <w:rPr>
                <w:rFonts w:hint="eastAsia" w:ascii="Times New Roman" w:hAnsi="Times New Roman" w:eastAsia="宋体" w:cs="Times New Roman"/>
                <w:b w:val="0"/>
                <w:bCs/>
                <w:color w:val="auto"/>
                <w:kern w:val="0"/>
                <w:position w:val="6"/>
                <w:sz w:val="24"/>
                <w:lang w:val="en-US" w:eastAsia="zh-CN"/>
              </w:rPr>
              <w:t>发酵至90天并检测</w:t>
            </w:r>
            <w:r>
              <w:rPr>
                <w:rFonts w:hint="eastAsia" w:ascii="Times New Roman" w:hAnsi="Times New Roman" w:eastAsia="宋体" w:cs="Times New Roman"/>
                <w:b w:val="0"/>
                <w:bCs/>
                <w:color w:val="auto"/>
                <w:kern w:val="0"/>
                <w:position w:val="6"/>
                <w:sz w:val="24"/>
                <w:highlight w:val="none"/>
                <w:lang w:val="en-US" w:eastAsia="zh-CN"/>
              </w:rPr>
              <w:t>总</w:t>
            </w:r>
            <w:r>
              <w:rPr>
                <w:rFonts w:hint="eastAsia" w:ascii="Times New Roman" w:hAnsi="Times New Roman" w:eastAsia="宋体" w:cs="Times New Roman"/>
                <w:b w:val="0"/>
                <w:bCs/>
                <w:color w:val="auto"/>
                <w:kern w:val="0"/>
                <w:position w:val="6"/>
                <w:sz w:val="24"/>
                <w:lang w:val="en-US" w:eastAsia="zh-CN"/>
              </w:rPr>
              <w:t>糖度降至0.6%左右时，从发酵罐底部放出酒液，用四联双级达滤机过滤酒液，确保杂质的清除，过滤后</w:t>
            </w:r>
            <w:r>
              <w:rPr>
                <w:rFonts w:hint="eastAsia" w:ascii="Times New Roman" w:hAnsi="Times New Roman" w:eastAsia="宋体" w:cs="Times New Roman"/>
                <w:b w:val="0"/>
                <w:bCs/>
                <w:color w:val="auto"/>
                <w:kern w:val="0"/>
                <w:position w:val="6"/>
                <w:sz w:val="24"/>
                <w:highlight w:val="none"/>
                <w:lang w:val="en-US" w:eastAsia="zh-CN"/>
              </w:rPr>
              <w:t>进入</w:t>
            </w:r>
            <w:r>
              <w:rPr>
                <w:rFonts w:hint="eastAsia" w:cs="Times New Roman"/>
                <w:b w:val="0"/>
                <w:bCs/>
                <w:color w:val="auto"/>
                <w:kern w:val="0"/>
                <w:position w:val="6"/>
                <w:sz w:val="24"/>
                <w:highlight w:val="none"/>
                <w:lang w:val="en-US" w:eastAsia="zh-CN"/>
              </w:rPr>
              <w:t>周转</w:t>
            </w:r>
            <w:r>
              <w:rPr>
                <w:rFonts w:hint="eastAsia" w:ascii="Times New Roman" w:hAnsi="Times New Roman" w:eastAsia="宋体" w:cs="Times New Roman"/>
                <w:b w:val="0"/>
                <w:bCs/>
                <w:color w:val="auto"/>
                <w:kern w:val="0"/>
                <w:position w:val="6"/>
                <w:sz w:val="24"/>
                <w:highlight w:val="none"/>
                <w:lang w:val="en-US" w:eastAsia="zh-CN"/>
              </w:rPr>
              <w:t>罐。</w:t>
            </w:r>
            <w:r>
              <w:rPr>
                <w:rFonts w:hint="eastAsia" w:cs="Times New Roman"/>
                <w:b w:val="0"/>
                <w:bCs/>
                <w:color w:val="auto"/>
                <w:kern w:val="0"/>
                <w:position w:val="6"/>
                <w:sz w:val="24"/>
                <w:lang w:val="en-US" w:eastAsia="zh-CN"/>
              </w:rPr>
              <w:t>本过程产生过滤残渣、噪声。</w:t>
            </w:r>
          </w:p>
          <w:p w14:paraId="3448E062">
            <w:pPr>
              <w:numPr>
                <w:ilvl w:val="0"/>
                <w:numId w:val="2"/>
              </w:numPr>
              <w:spacing w:line="360" w:lineRule="auto"/>
              <w:ind w:left="0" w:leftChars="0" w:firstLine="480" w:firstLineChars="200"/>
              <w:rPr>
                <w:rFonts w:hint="eastAsia" w:cs="Times New Roman"/>
                <w:b w:val="0"/>
                <w:bCs/>
                <w:color w:val="auto"/>
                <w:kern w:val="0"/>
                <w:position w:val="6"/>
                <w:sz w:val="24"/>
                <w:highlight w:val="none"/>
                <w:lang w:val="en-US" w:eastAsia="zh-CN"/>
              </w:rPr>
            </w:pPr>
            <w:r>
              <w:rPr>
                <w:rFonts w:hint="eastAsia" w:cs="Times New Roman"/>
                <w:b w:val="0"/>
                <w:bCs/>
                <w:color w:val="auto"/>
                <w:kern w:val="0"/>
                <w:position w:val="6"/>
                <w:sz w:val="24"/>
                <w:highlight w:val="none"/>
                <w:lang w:val="en-US" w:eastAsia="zh-CN"/>
              </w:rPr>
              <w:t>低温脱醇</w:t>
            </w:r>
          </w:p>
          <w:p w14:paraId="3E0199BF">
            <w:pPr>
              <w:numPr>
                <w:ilvl w:val="0"/>
                <w:numId w:val="0"/>
              </w:numPr>
              <w:spacing w:line="360" w:lineRule="auto"/>
              <w:ind w:firstLine="480" w:firstLineChars="200"/>
              <w:rPr>
                <w:rFonts w:hint="eastAsia" w:cs="Times New Roman"/>
                <w:b w:val="0"/>
                <w:bCs/>
                <w:color w:val="auto"/>
                <w:kern w:val="0"/>
                <w:position w:val="6"/>
                <w:sz w:val="24"/>
                <w:highlight w:val="none"/>
                <w:lang w:val="en-US" w:eastAsia="zh-CN"/>
              </w:rPr>
            </w:pPr>
            <w:r>
              <w:rPr>
                <w:rFonts w:hint="eastAsia" w:cs="Times New Roman"/>
                <w:b w:val="0"/>
                <w:bCs/>
                <w:color w:val="auto"/>
                <w:kern w:val="0"/>
                <w:position w:val="6"/>
                <w:sz w:val="24"/>
                <w:highlight w:val="none"/>
                <w:lang w:val="en-US" w:eastAsia="zh-CN"/>
              </w:rPr>
              <w:t>本项目部分原酒（70t）需要低温脱醇制成脱醇酒，具体操作为：每罐装入待脱醇酒液200L，通过真空脱醇设备进行脱醇处理，保证脱醇温度为40℃，脱醇时间40min，脱醇后回收的无醇酒即为山茱萸脱醇酒（酒精浓度≤0.5%Vol），期间产生脱醇废气，</w:t>
            </w:r>
            <w:r>
              <w:rPr>
                <w:rFonts w:hint="eastAsia" w:cs="Times New Roman"/>
                <w:b w:val="0"/>
                <w:bCs/>
                <w:color w:val="FF0000"/>
                <w:kern w:val="0"/>
                <w:position w:val="6"/>
                <w:sz w:val="24"/>
                <w:highlight w:val="none"/>
                <w:lang w:val="en-US" w:eastAsia="zh-CN"/>
              </w:rPr>
              <w:t>脱醇冷凝粗酒精液（乙醇浓度为40%，不含重金属、有毒有机溶剂等危险杂质）。低温脱醇不涉及蒸馏工艺。</w:t>
            </w:r>
          </w:p>
          <w:p w14:paraId="43525BB6">
            <w:pPr>
              <w:numPr>
                <w:ilvl w:val="0"/>
                <w:numId w:val="2"/>
              </w:numPr>
              <w:spacing w:line="360" w:lineRule="auto"/>
              <w:ind w:left="0" w:leftChars="0" w:firstLine="480" w:firstLineChars="200"/>
              <w:rPr>
                <w:rFonts w:hint="default" w:cs="Times New Roman"/>
                <w:b w:val="0"/>
                <w:bCs/>
                <w:color w:val="auto"/>
                <w:kern w:val="0"/>
                <w:position w:val="6"/>
                <w:sz w:val="24"/>
                <w:highlight w:val="none"/>
                <w:lang w:val="en-US" w:eastAsia="zh-CN"/>
              </w:rPr>
            </w:pPr>
            <w:r>
              <w:rPr>
                <w:rFonts w:hint="eastAsia" w:cs="Times New Roman"/>
                <w:b w:val="0"/>
                <w:bCs/>
                <w:color w:val="auto"/>
                <w:kern w:val="0"/>
                <w:position w:val="6"/>
                <w:sz w:val="24"/>
                <w:highlight w:val="none"/>
                <w:lang w:val="en-US" w:eastAsia="zh-CN"/>
              </w:rPr>
              <w:t>调配</w:t>
            </w:r>
          </w:p>
          <w:p w14:paraId="459F00AE">
            <w:pPr>
              <w:numPr>
                <w:ilvl w:val="0"/>
                <w:numId w:val="0"/>
              </w:numPr>
              <w:spacing w:line="360" w:lineRule="auto"/>
              <w:ind w:firstLine="480" w:firstLineChars="200"/>
              <w:rPr>
                <w:rFonts w:hint="eastAsia" w:ascii="Times New Roman" w:hAnsi="Times New Roman" w:eastAsia="宋体" w:cs="Times New Roman"/>
                <w:b w:val="0"/>
                <w:bCs/>
                <w:color w:val="auto"/>
                <w:kern w:val="0"/>
                <w:position w:val="6"/>
                <w:sz w:val="24"/>
                <w:lang w:val="en-US" w:eastAsia="zh-CN"/>
              </w:rPr>
            </w:pPr>
            <w:r>
              <w:rPr>
                <w:rFonts w:hint="eastAsia" w:ascii="Times New Roman" w:hAnsi="Times New Roman" w:eastAsia="宋体" w:cs="Times New Roman"/>
                <w:b w:val="0"/>
                <w:bCs/>
                <w:color w:val="auto"/>
                <w:kern w:val="0"/>
                <w:position w:val="6"/>
                <w:sz w:val="24"/>
                <w:lang w:val="en-US" w:eastAsia="zh-CN"/>
              </w:rPr>
              <w:t>按照产品的标识，预先对计划勾调的原酒</w:t>
            </w:r>
            <w:r>
              <w:rPr>
                <w:rFonts w:hint="eastAsia" w:cs="Times New Roman"/>
                <w:b w:val="0"/>
                <w:bCs/>
                <w:color w:val="auto"/>
                <w:kern w:val="0"/>
                <w:position w:val="6"/>
                <w:sz w:val="24"/>
                <w:lang w:val="en-US" w:eastAsia="zh-CN"/>
              </w:rPr>
              <w:t>（包括山茱萸发酵酒和脱醇酒）</w:t>
            </w:r>
            <w:r>
              <w:rPr>
                <w:rFonts w:hint="eastAsia" w:ascii="Times New Roman" w:hAnsi="Times New Roman" w:eastAsia="宋体" w:cs="Times New Roman"/>
                <w:b w:val="0"/>
                <w:bCs/>
                <w:color w:val="auto"/>
                <w:kern w:val="0"/>
                <w:position w:val="6"/>
                <w:sz w:val="24"/>
                <w:lang w:val="en-US" w:eastAsia="zh-CN"/>
              </w:rPr>
              <w:t>进行检测，检测出原酒的酒精含量。</w:t>
            </w:r>
          </w:p>
          <w:p w14:paraId="60D647F0">
            <w:pPr>
              <w:numPr>
                <w:ilvl w:val="0"/>
                <w:numId w:val="0"/>
              </w:numPr>
              <w:spacing w:line="360" w:lineRule="auto"/>
              <w:ind w:firstLine="480" w:firstLineChars="200"/>
              <w:rPr>
                <w:rFonts w:hint="eastAsia" w:ascii="Times New Roman" w:hAnsi="Times New Roman" w:eastAsia="宋体" w:cs="Times New Roman"/>
                <w:b w:val="0"/>
                <w:bCs/>
                <w:color w:val="auto"/>
                <w:kern w:val="0"/>
                <w:position w:val="6"/>
                <w:sz w:val="24"/>
                <w:lang w:val="en-US" w:eastAsia="zh-CN"/>
              </w:rPr>
            </w:pPr>
            <w:r>
              <w:rPr>
                <w:rFonts w:hint="eastAsia" w:ascii="Times New Roman" w:hAnsi="Times New Roman" w:eastAsia="宋体" w:cs="Times New Roman"/>
                <w:b w:val="0"/>
                <w:bCs/>
                <w:color w:val="auto"/>
                <w:kern w:val="0"/>
                <w:position w:val="6"/>
                <w:sz w:val="24"/>
                <w:lang w:val="en-US" w:eastAsia="zh-CN"/>
              </w:rPr>
              <w:t>将不同酒精度的原酒泵入调配罐，按成品酒精度要求进行调配，然后根据口感要求加入适量蜂蜜调整口感，搅拌均匀后按250g/T（即每吨酒液加入250g）的比例加入焦亚硫酸钾，起到防腐、抗氧化、抑菌作用。</w:t>
            </w:r>
          </w:p>
          <w:p w14:paraId="0FFFDC42">
            <w:pPr>
              <w:numPr>
                <w:ilvl w:val="0"/>
                <w:numId w:val="2"/>
              </w:numPr>
              <w:spacing w:line="360" w:lineRule="auto"/>
              <w:ind w:left="0" w:leftChars="0" w:firstLine="480" w:firstLineChars="200"/>
              <w:rPr>
                <w:rFonts w:hint="eastAsia" w:cs="Times New Roman"/>
                <w:b w:val="0"/>
                <w:bCs/>
                <w:color w:val="auto"/>
                <w:kern w:val="0"/>
                <w:position w:val="6"/>
                <w:sz w:val="24"/>
                <w:highlight w:val="none"/>
                <w:lang w:val="en-US" w:eastAsia="zh-CN"/>
              </w:rPr>
            </w:pPr>
            <w:r>
              <w:rPr>
                <w:rFonts w:hint="eastAsia" w:cs="Times New Roman"/>
                <w:b w:val="0"/>
                <w:bCs/>
                <w:color w:val="auto"/>
                <w:kern w:val="0"/>
                <w:position w:val="6"/>
                <w:sz w:val="24"/>
                <w:highlight w:val="none"/>
                <w:lang w:val="en-US" w:eastAsia="zh-CN"/>
              </w:rPr>
              <w:t>检验</w:t>
            </w:r>
          </w:p>
          <w:p w14:paraId="108E74AB">
            <w:pPr>
              <w:spacing w:line="360" w:lineRule="auto"/>
              <w:ind w:firstLine="480" w:firstLineChars="200"/>
              <w:rPr>
                <w:rFonts w:hint="eastAsia" w:ascii="Times New Roman" w:hAnsi="Times New Roman" w:eastAsia="宋体" w:cs="Times New Roman"/>
                <w:b w:val="0"/>
                <w:bCs/>
                <w:color w:val="auto"/>
                <w:kern w:val="0"/>
                <w:position w:val="6"/>
                <w:sz w:val="24"/>
                <w:lang w:val="en-US" w:eastAsia="zh-CN"/>
              </w:rPr>
            </w:pPr>
            <w:r>
              <w:rPr>
                <w:rFonts w:hint="eastAsia" w:ascii="Times New Roman" w:hAnsi="Times New Roman" w:eastAsia="宋体" w:cs="Times New Roman"/>
                <w:b w:val="0"/>
                <w:bCs/>
                <w:color w:val="auto"/>
                <w:kern w:val="0"/>
                <w:position w:val="6"/>
                <w:sz w:val="24"/>
                <w:lang w:val="en-US" w:eastAsia="zh-CN"/>
              </w:rPr>
              <w:t>按照发酵酒出厂检验标准进行检验，检验</w:t>
            </w:r>
            <w:r>
              <w:rPr>
                <w:rFonts w:hint="eastAsia" w:ascii="Times New Roman" w:hAnsi="Times New Roman" w:eastAsia="宋体" w:cs="Times New Roman"/>
                <w:b w:val="0"/>
                <w:bCs/>
                <w:color w:val="auto"/>
                <w:kern w:val="0"/>
                <w:position w:val="6"/>
                <w:sz w:val="24"/>
                <w:highlight w:val="none"/>
                <w:lang w:val="en-US" w:eastAsia="zh-CN"/>
              </w:rPr>
              <w:t>合格后进入下一工序。本</w:t>
            </w:r>
            <w:r>
              <w:rPr>
                <w:rFonts w:hint="eastAsia" w:ascii="Times New Roman" w:hAnsi="Times New Roman" w:eastAsia="宋体" w:cs="Times New Roman"/>
                <w:b w:val="0"/>
                <w:bCs/>
                <w:color w:val="auto"/>
                <w:kern w:val="0"/>
                <w:position w:val="6"/>
                <w:sz w:val="24"/>
                <w:lang w:val="en-US" w:eastAsia="zh-CN"/>
              </w:rPr>
              <w:t>过程产生检测废液</w:t>
            </w:r>
            <w:r>
              <w:rPr>
                <w:rFonts w:hint="eastAsia" w:cs="Times New Roman"/>
                <w:b w:val="0"/>
                <w:bCs/>
                <w:color w:val="auto"/>
                <w:kern w:val="0"/>
                <w:position w:val="6"/>
                <w:sz w:val="24"/>
                <w:lang w:val="en-US" w:eastAsia="zh-CN"/>
              </w:rPr>
              <w:t>、仪器清洗废水</w:t>
            </w:r>
            <w:r>
              <w:rPr>
                <w:rFonts w:hint="eastAsia" w:ascii="Times New Roman" w:hAnsi="Times New Roman" w:eastAsia="宋体" w:cs="Times New Roman"/>
                <w:b w:val="0"/>
                <w:bCs/>
                <w:color w:val="auto"/>
                <w:kern w:val="0"/>
                <w:position w:val="6"/>
                <w:sz w:val="24"/>
                <w:lang w:val="en-US" w:eastAsia="zh-CN"/>
              </w:rPr>
              <w:t>。</w:t>
            </w:r>
          </w:p>
          <w:p w14:paraId="66F518AF">
            <w:pPr>
              <w:numPr>
                <w:ilvl w:val="0"/>
                <w:numId w:val="2"/>
              </w:numPr>
              <w:spacing w:line="360" w:lineRule="auto"/>
              <w:ind w:left="0" w:leftChars="0" w:firstLine="480" w:firstLineChars="200"/>
              <w:rPr>
                <w:rFonts w:hint="eastAsia" w:cs="Times New Roman"/>
                <w:b w:val="0"/>
                <w:bCs/>
                <w:color w:val="auto"/>
                <w:kern w:val="0"/>
                <w:position w:val="6"/>
                <w:sz w:val="24"/>
                <w:highlight w:val="none"/>
                <w:lang w:val="en-US" w:eastAsia="zh-CN"/>
              </w:rPr>
            </w:pPr>
            <w:r>
              <w:rPr>
                <w:rFonts w:hint="eastAsia" w:cs="Times New Roman"/>
                <w:b w:val="0"/>
                <w:bCs/>
                <w:color w:val="auto"/>
                <w:kern w:val="0"/>
                <w:position w:val="6"/>
                <w:sz w:val="24"/>
                <w:highlight w:val="none"/>
                <w:lang w:val="en-US" w:eastAsia="zh-CN"/>
              </w:rPr>
              <w:t>冷冻</w:t>
            </w:r>
          </w:p>
          <w:p w14:paraId="432BD3E3">
            <w:pPr>
              <w:numPr>
                <w:ilvl w:val="0"/>
                <w:numId w:val="0"/>
              </w:numPr>
              <w:spacing w:line="360" w:lineRule="auto"/>
              <w:ind w:firstLine="480" w:firstLineChars="200"/>
              <w:rPr>
                <w:rFonts w:hint="default" w:ascii="Times New Roman" w:hAnsi="Times New Roman" w:eastAsia="宋体" w:cs="Times New Roman"/>
                <w:b w:val="0"/>
                <w:bCs/>
                <w:color w:val="auto"/>
                <w:kern w:val="0"/>
                <w:position w:val="6"/>
                <w:sz w:val="24"/>
                <w:lang w:val="en-US" w:eastAsia="zh-CN"/>
              </w:rPr>
            </w:pPr>
            <w:r>
              <w:rPr>
                <w:rFonts w:hint="eastAsia" w:ascii="Times New Roman" w:hAnsi="Times New Roman" w:eastAsia="宋体" w:cs="Times New Roman"/>
                <w:b w:val="0"/>
                <w:bCs/>
                <w:color w:val="auto"/>
                <w:kern w:val="0"/>
                <w:position w:val="6"/>
                <w:sz w:val="24"/>
                <w:lang w:val="en-US" w:eastAsia="zh-CN"/>
              </w:rPr>
              <w:t>检验合格后的酒液注入冷冻罐，将温度调至-10℃</w:t>
            </w:r>
            <w:r>
              <w:rPr>
                <w:rFonts w:hint="eastAsia" w:cs="Times New Roman"/>
                <w:b w:val="0"/>
                <w:bCs/>
                <w:color w:val="auto"/>
                <w:kern w:val="0"/>
                <w:position w:val="6"/>
                <w:sz w:val="24"/>
                <w:lang w:val="en-US" w:eastAsia="zh-CN"/>
              </w:rPr>
              <w:t>~</w:t>
            </w:r>
            <w:r>
              <w:rPr>
                <w:rFonts w:hint="eastAsia" w:ascii="Times New Roman" w:hAnsi="Times New Roman" w:eastAsia="宋体" w:cs="Times New Roman"/>
                <w:b w:val="0"/>
                <w:bCs/>
                <w:color w:val="auto"/>
                <w:kern w:val="0"/>
                <w:position w:val="6"/>
                <w:sz w:val="24"/>
                <w:lang w:val="en-US" w:eastAsia="zh-CN"/>
              </w:rPr>
              <w:t>17℃之间（根据酒液的酒精度确定）冷冻48h。</w:t>
            </w:r>
          </w:p>
          <w:p w14:paraId="2A579EEA">
            <w:pPr>
              <w:numPr>
                <w:ilvl w:val="0"/>
                <w:numId w:val="2"/>
              </w:numPr>
              <w:spacing w:line="360" w:lineRule="auto"/>
              <w:ind w:left="0" w:leftChars="0" w:firstLine="480" w:firstLineChars="200"/>
              <w:rPr>
                <w:rFonts w:hint="default" w:cs="Times New Roman"/>
                <w:b w:val="0"/>
                <w:bCs/>
                <w:color w:val="auto"/>
                <w:kern w:val="0"/>
                <w:position w:val="6"/>
                <w:sz w:val="24"/>
                <w:highlight w:val="none"/>
                <w:lang w:val="en-US" w:eastAsia="zh-CN"/>
              </w:rPr>
            </w:pPr>
            <w:r>
              <w:rPr>
                <w:rFonts w:hint="eastAsia" w:cs="Times New Roman"/>
                <w:b w:val="0"/>
                <w:bCs/>
                <w:color w:val="auto"/>
                <w:kern w:val="0"/>
                <w:position w:val="6"/>
                <w:sz w:val="24"/>
                <w:highlight w:val="none"/>
                <w:lang w:val="en-US" w:eastAsia="zh-CN"/>
              </w:rPr>
              <w:t>精滤</w:t>
            </w:r>
          </w:p>
          <w:p w14:paraId="064B19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val="0"/>
                <w:bCs/>
                <w:color w:val="auto"/>
                <w:kern w:val="0"/>
                <w:position w:val="6"/>
                <w:sz w:val="24"/>
                <w:lang w:val="en-US" w:eastAsia="zh-CN"/>
              </w:rPr>
            </w:pPr>
            <w:r>
              <w:rPr>
                <w:rFonts w:hint="eastAsia" w:ascii="Times New Roman" w:hAnsi="Times New Roman" w:eastAsia="宋体" w:cs="Times New Roman"/>
                <w:b w:val="0"/>
                <w:bCs/>
                <w:color w:val="auto"/>
                <w:kern w:val="0"/>
                <w:position w:val="6"/>
                <w:sz w:val="24"/>
                <w:lang w:val="en-US" w:eastAsia="zh-CN"/>
              </w:rPr>
              <w:t>冷冻后的酒液，通过四联精密过滤机</w:t>
            </w:r>
            <w:r>
              <w:rPr>
                <w:rFonts w:hint="eastAsia" w:ascii="Times New Roman" w:hAnsi="Times New Roman" w:eastAsia="宋体" w:cs="Times New Roman"/>
                <w:b w:val="0"/>
                <w:bCs/>
                <w:color w:val="auto"/>
                <w:kern w:val="0"/>
                <w:position w:val="6"/>
                <w:sz w:val="24"/>
                <w:highlight w:val="none"/>
                <w:lang w:val="en-US" w:eastAsia="zh-CN"/>
              </w:rPr>
              <w:t>进行精滤，</w:t>
            </w:r>
            <w:r>
              <w:rPr>
                <w:rFonts w:hint="eastAsia" w:ascii="Times New Roman" w:hAnsi="Times New Roman" w:eastAsia="宋体" w:cs="Times New Roman"/>
                <w:b w:val="0"/>
                <w:bCs/>
                <w:color w:val="auto"/>
                <w:kern w:val="0"/>
                <w:position w:val="6"/>
                <w:sz w:val="24"/>
                <w:lang w:val="en-US" w:eastAsia="zh-CN"/>
              </w:rPr>
              <w:t>此次过滤主要滤除酒中残余的大分子固体，保证酒品质。</w:t>
            </w:r>
            <w:r>
              <w:rPr>
                <w:rFonts w:hint="eastAsia" w:cs="Times New Roman"/>
                <w:b w:val="0"/>
                <w:bCs/>
                <w:color w:val="auto"/>
                <w:kern w:val="0"/>
                <w:position w:val="6"/>
                <w:sz w:val="24"/>
                <w:lang w:val="en-US" w:eastAsia="zh-CN"/>
              </w:rPr>
              <w:t>期间产生过滤残渣、噪声。</w:t>
            </w:r>
          </w:p>
          <w:p w14:paraId="00D79729">
            <w:pPr>
              <w:numPr>
                <w:ilvl w:val="0"/>
                <w:numId w:val="2"/>
              </w:numPr>
              <w:spacing w:line="360" w:lineRule="auto"/>
              <w:ind w:left="0" w:leftChars="0" w:firstLine="480" w:firstLineChars="200"/>
              <w:rPr>
                <w:rFonts w:hint="default" w:cs="Times New Roman"/>
                <w:b w:val="0"/>
                <w:bCs/>
                <w:color w:val="auto"/>
                <w:kern w:val="0"/>
                <w:position w:val="6"/>
                <w:sz w:val="24"/>
                <w:highlight w:val="none"/>
                <w:lang w:val="en-US" w:eastAsia="zh-CN"/>
              </w:rPr>
            </w:pPr>
            <w:r>
              <w:rPr>
                <w:rFonts w:hint="eastAsia" w:cs="Times New Roman"/>
                <w:b w:val="0"/>
                <w:bCs/>
                <w:color w:val="auto"/>
                <w:kern w:val="0"/>
                <w:position w:val="6"/>
                <w:sz w:val="24"/>
                <w:highlight w:val="none"/>
                <w:lang w:val="en-US" w:eastAsia="zh-CN"/>
              </w:rPr>
              <w:t>灭菌</w:t>
            </w:r>
          </w:p>
          <w:p w14:paraId="49A3F190">
            <w:pPr>
              <w:spacing w:line="360" w:lineRule="auto"/>
              <w:ind w:firstLine="480" w:firstLineChars="200"/>
              <w:rPr>
                <w:rFonts w:hint="eastAsia" w:ascii="Times New Roman" w:hAnsi="Times New Roman" w:eastAsia="宋体" w:cs="Times New Roman"/>
                <w:b w:val="0"/>
                <w:bCs/>
                <w:color w:val="FF0000"/>
                <w:kern w:val="0"/>
                <w:position w:val="6"/>
                <w:sz w:val="24"/>
                <w:lang w:val="en-US" w:eastAsia="zh-CN"/>
              </w:rPr>
            </w:pPr>
            <w:r>
              <w:rPr>
                <w:rFonts w:hint="eastAsia" w:ascii="Times New Roman" w:hAnsi="Times New Roman" w:eastAsia="宋体" w:cs="Times New Roman"/>
                <w:b w:val="0"/>
                <w:bCs/>
                <w:color w:val="FF0000"/>
                <w:kern w:val="0"/>
                <w:position w:val="6"/>
                <w:sz w:val="24"/>
                <w:lang w:val="en-US" w:eastAsia="zh-CN"/>
              </w:rPr>
              <w:t>产</w:t>
            </w:r>
            <w:r>
              <w:rPr>
                <w:rFonts w:hint="eastAsia" w:ascii="Times New Roman" w:hAnsi="Times New Roman" w:eastAsia="宋体" w:cs="Times New Roman"/>
                <w:b w:val="0"/>
                <w:bCs/>
                <w:color w:val="FF0000"/>
                <w:kern w:val="0"/>
                <w:position w:val="6"/>
                <w:sz w:val="24"/>
                <w:highlight w:val="none"/>
                <w:lang w:val="en-US" w:eastAsia="zh-CN"/>
              </w:rPr>
              <w:t>品经过精滤后</w:t>
            </w:r>
            <w:r>
              <w:rPr>
                <w:rFonts w:hint="eastAsia" w:ascii="Times New Roman" w:hAnsi="Times New Roman" w:eastAsia="宋体" w:cs="Times New Roman"/>
                <w:b w:val="0"/>
                <w:bCs/>
                <w:color w:val="FF0000"/>
                <w:kern w:val="0"/>
                <w:position w:val="6"/>
                <w:sz w:val="24"/>
                <w:lang w:val="en-US" w:eastAsia="zh-CN"/>
              </w:rPr>
              <w:t>采用</w:t>
            </w:r>
            <w:r>
              <w:rPr>
                <w:rFonts w:hint="eastAsia" w:cs="Times New Roman"/>
                <w:b w:val="0"/>
                <w:bCs/>
                <w:color w:val="FF0000"/>
                <w:kern w:val="0"/>
                <w:position w:val="6"/>
                <w:sz w:val="24"/>
                <w:lang w:val="en-US" w:eastAsia="zh-CN"/>
              </w:rPr>
              <w:t>电加热形式通过智能电加热蒸汽发生器运行产生</w:t>
            </w:r>
            <w:r>
              <w:rPr>
                <w:rFonts w:hint="eastAsia" w:ascii="Times New Roman" w:hAnsi="Times New Roman" w:eastAsia="宋体" w:cs="Times New Roman"/>
                <w:b w:val="0"/>
                <w:bCs/>
                <w:color w:val="FF0000"/>
                <w:kern w:val="0"/>
                <w:position w:val="6"/>
                <w:sz w:val="24"/>
                <w:highlight w:val="none"/>
                <w:lang w:val="en-US" w:eastAsia="zh-CN"/>
              </w:rPr>
              <w:t>蒸汽瞬时灭</w:t>
            </w:r>
            <w:r>
              <w:rPr>
                <w:rFonts w:hint="eastAsia" w:ascii="Times New Roman" w:hAnsi="Times New Roman" w:eastAsia="宋体" w:cs="Times New Roman"/>
                <w:b w:val="0"/>
                <w:bCs/>
                <w:color w:val="FF0000"/>
                <w:kern w:val="0"/>
                <w:position w:val="6"/>
                <w:sz w:val="24"/>
                <w:lang w:val="en-US" w:eastAsia="zh-CN"/>
              </w:rPr>
              <w:t>菌，灭菌后进入下一个工序。</w:t>
            </w:r>
          </w:p>
          <w:p w14:paraId="7898CBCC">
            <w:pPr>
              <w:numPr>
                <w:ilvl w:val="0"/>
                <w:numId w:val="2"/>
              </w:numPr>
              <w:spacing w:line="360" w:lineRule="auto"/>
              <w:ind w:left="0" w:leftChars="0" w:firstLine="480" w:firstLineChars="200"/>
              <w:rPr>
                <w:rFonts w:hint="default" w:cs="Times New Roman"/>
                <w:b w:val="0"/>
                <w:bCs/>
                <w:color w:val="auto"/>
                <w:kern w:val="0"/>
                <w:position w:val="6"/>
                <w:sz w:val="24"/>
                <w:highlight w:val="none"/>
                <w:lang w:val="en-US" w:eastAsia="zh-CN"/>
              </w:rPr>
            </w:pPr>
            <w:r>
              <w:rPr>
                <w:rFonts w:hint="eastAsia" w:cs="Times New Roman"/>
                <w:b w:val="0"/>
                <w:bCs/>
                <w:color w:val="auto"/>
                <w:kern w:val="0"/>
                <w:position w:val="6"/>
                <w:sz w:val="24"/>
                <w:highlight w:val="none"/>
                <w:lang w:val="en-US" w:eastAsia="zh-CN"/>
              </w:rPr>
              <w:t>灌装</w:t>
            </w:r>
          </w:p>
          <w:p w14:paraId="1E0814C0">
            <w:pPr>
              <w:spacing w:line="360" w:lineRule="auto"/>
              <w:ind w:firstLine="480" w:firstLineChars="200"/>
              <w:rPr>
                <w:rFonts w:hint="eastAsia" w:ascii="Times New Roman" w:hAnsi="Times New Roman" w:eastAsia="宋体" w:cs="Times New Roman"/>
                <w:b w:val="0"/>
                <w:bCs/>
                <w:color w:val="auto"/>
                <w:kern w:val="0"/>
                <w:position w:val="6"/>
                <w:sz w:val="24"/>
                <w:lang w:val="en-US" w:eastAsia="zh-CN"/>
              </w:rPr>
            </w:pPr>
            <w:r>
              <w:rPr>
                <w:rFonts w:hint="eastAsia" w:ascii="Times New Roman" w:hAnsi="Times New Roman" w:eastAsia="宋体" w:cs="Times New Roman"/>
                <w:b w:val="0"/>
                <w:bCs/>
                <w:color w:val="auto"/>
                <w:kern w:val="0"/>
                <w:position w:val="6"/>
                <w:sz w:val="24"/>
                <w:lang w:val="en-US" w:eastAsia="zh-CN"/>
              </w:rPr>
              <w:t>包装瓶清</w:t>
            </w:r>
            <w:r>
              <w:rPr>
                <w:rFonts w:hint="eastAsia" w:ascii="Times New Roman" w:hAnsi="Times New Roman" w:eastAsia="宋体" w:cs="Times New Roman"/>
                <w:b w:val="0"/>
                <w:bCs/>
                <w:color w:val="auto"/>
                <w:kern w:val="0"/>
                <w:position w:val="6"/>
                <w:sz w:val="24"/>
                <w:highlight w:val="none"/>
                <w:lang w:val="en-US" w:eastAsia="zh-CN"/>
              </w:rPr>
              <w:t>洗，用纯净水冲洗瓶内，冲洗瓶内的水由洗瓶机自动回后冲洗瓶子外部。将</w:t>
            </w:r>
            <w:r>
              <w:rPr>
                <w:rFonts w:hint="eastAsia" w:ascii="Times New Roman" w:hAnsi="Times New Roman" w:eastAsia="宋体" w:cs="Times New Roman"/>
                <w:b w:val="0"/>
                <w:bCs/>
                <w:color w:val="auto"/>
                <w:kern w:val="0"/>
                <w:position w:val="6"/>
                <w:sz w:val="24"/>
                <w:lang w:val="en-US" w:eastAsia="zh-CN"/>
              </w:rPr>
              <w:t>洗好的瓶子进入灌装线进行灌装、灯检、打塞、封帽、贴标。</w:t>
            </w:r>
            <w:r>
              <w:rPr>
                <w:rFonts w:hint="eastAsia" w:cs="Times New Roman"/>
                <w:b w:val="0"/>
                <w:bCs/>
                <w:color w:val="auto"/>
                <w:kern w:val="0"/>
                <w:position w:val="6"/>
                <w:sz w:val="24"/>
                <w:lang w:val="en-US" w:eastAsia="zh-CN"/>
              </w:rPr>
              <w:t>期间产生空瓶清洗废水、噪声。</w:t>
            </w:r>
          </w:p>
          <w:p w14:paraId="163D4E02">
            <w:pPr>
              <w:numPr>
                <w:ilvl w:val="0"/>
                <w:numId w:val="2"/>
              </w:numPr>
              <w:spacing w:line="360" w:lineRule="auto"/>
              <w:ind w:left="0" w:leftChars="0" w:firstLine="480" w:firstLineChars="200"/>
              <w:rPr>
                <w:rFonts w:hint="eastAsia" w:cs="Times New Roman"/>
                <w:b w:val="0"/>
                <w:bCs/>
                <w:color w:val="auto"/>
                <w:kern w:val="0"/>
                <w:position w:val="6"/>
                <w:sz w:val="24"/>
                <w:highlight w:val="none"/>
                <w:lang w:val="en-US" w:eastAsia="zh-CN"/>
              </w:rPr>
            </w:pPr>
            <w:r>
              <w:rPr>
                <w:rFonts w:hint="eastAsia" w:cs="Times New Roman"/>
                <w:b w:val="0"/>
                <w:bCs/>
                <w:color w:val="auto"/>
                <w:kern w:val="0"/>
                <w:position w:val="6"/>
                <w:sz w:val="24"/>
                <w:highlight w:val="none"/>
                <w:lang w:val="en-US" w:eastAsia="zh-CN"/>
              </w:rPr>
              <w:t>包装、入库</w:t>
            </w:r>
          </w:p>
          <w:p w14:paraId="66993DC6">
            <w:pPr>
              <w:spacing w:line="360" w:lineRule="auto"/>
              <w:ind w:firstLine="480" w:firstLineChars="200"/>
              <w:rPr>
                <w:rFonts w:hint="eastAsia" w:ascii="Times New Roman" w:hAnsi="Times New Roman" w:eastAsia="宋体" w:cs="Times New Roman"/>
                <w:b w:val="0"/>
                <w:bCs/>
                <w:color w:val="auto"/>
                <w:kern w:val="0"/>
                <w:position w:val="6"/>
                <w:sz w:val="24"/>
                <w:lang w:val="en-US" w:eastAsia="zh-CN"/>
              </w:rPr>
            </w:pPr>
            <w:r>
              <w:rPr>
                <w:rFonts w:hint="eastAsia" w:ascii="Times New Roman" w:hAnsi="Times New Roman" w:eastAsia="宋体" w:cs="Times New Roman"/>
                <w:b w:val="0"/>
                <w:bCs/>
                <w:color w:val="auto"/>
                <w:kern w:val="0"/>
                <w:position w:val="6"/>
                <w:sz w:val="24"/>
                <w:lang w:val="en-US" w:eastAsia="zh-CN"/>
              </w:rPr>
              <w:t>将品检合格的产品装箱然后放入合格证，方可封口。封口时将箱口对齐，进行胶带封口。将成品酒堆放整齐，送入成品库内存放。</w:t>
            </w:r>
          </w:p>
          <w:p w14:paraId="6384EDB7">
            <w:pPr>
              <w:spacing w:line="360" w:lineRule="auto"/>
              <w:ind w:firstLine="480" w:firstLineChars="200"/>
              <w:rPr>
                <w:rFonts w:hint="eastAsia" w:ascii="Times New Roman" w:hAnsi="Times New Roman" w:eastAsia="宋体" w:cs="Times New Roman"/>
                <w:b w:val="0"/>
                <w:bCs/>
                <w:color w:val="auto"/>
                <w:kern w:val="0"/>
                <w:position w:val="6"/>
                <w:sz w:val="24"/>
                <w:lang w:val="en-US" w:eastAsia="zh-CN"/>
              </w:rPr>
            </w:pPr>
            <w:r>
              <w:rPr>
                <w:rFonts w:hint="eastAsia" w:cs="Times New Roman"/>
                <w:b w:val="0"/>
                <w:bCs/>
                <w:color w:val="auto"/>
                <w:kern w:val="0"/>
                <w:position w:val="6"/>
                <w:sz w:val="24"/>
                <w:lang w:val="en-US" w:eastAsia="zh-CN"/>
              </w:rPr>
              <w:t>本项目纯水制备采用双极反渗透净水设备，通过两级RO膜串联深度脱盐净化，利用反渗透膜的选择性透过原理，在压力驱动下去除水中离子、杂质、微生物等，制备满足食品生产要求的纯水，具有脱盐率高、出水稳定、水质纯净等特点，制备率为75%，制备过程会产生纯水制备浓水、噪声。</w:t>
            </w:r>
          </w:p>
          <w:p w14:paraId="5B0DFCCC">
            <w:pPr>
              <w:bidi w:val="0"/>
              <w:rPr>
                <w:rFonts w:hint="default"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 xml:space="preserve">2.10.2 </w:t>
            </w:r>
            <w:r>
              <w:rPr>
                <w:rFonts w:hint="eastAsia" w:ascii="Times New Roman" w:hAnsi="Times New Roman" w:eastAsia="宋体" w:cs="Times New Roman"/>
                <w:b/>
                <w:bCs/>
                <w:color w:val="auto"/>
                <w:highlight w:val="none"/>
                <w:lang w:val="en-US" w:eastAsia="zh-CN"/>
              </w:rPr>
              <w:t>产污环节</w:t>
            </w:r>
          </w:p>
          <w:p w14:paraId="257FEBE0">
            <w:pPr>
              <w:pStyle w:val="13"/>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left"/>
              <w:textAlignment w:val="auto"/>
              <w:rPr>
                <w:rFonts w:hint="eastAsia" w:ascii="Times New Roman" w:hAnsi="Times New Roman" w:eastAsia="宋体" w:cs="Times New Roman"/>
                <w:b/>
                <w:color w:val="auto"/>
                <w:sz w:val="21"/>
                <w:szCs w:val="21"/>
              </w:rPr>
            </w:pPr>
            <w:r>
              <w:rPr>
                <w:rFonts w:hint="eastAsia"/>
                <w:color w:val="auto"/>
                <w:sz w:val="24"/>
                <w:lang w:eastAsia="zh-CN"/>
              </w:rPr>
              <w:t>本项目</w:t>
            </w:r>
            <w:r>
              <w:rPr>
                <w:color w:val="auto"/>
                <w:sz w:val="24"/>
              </w:rPr>
              <w:t>运营期具体产生污染情况见</w:t>
            </w:r>
            <w:r>
              <w:rPr>
                <w:rFonts w:hint="eastAsia"/>
                <w:color w:val="auto"/>
                <w:sz w:val="24"/>
                <w:lang w:val="en-US" w:eastAsia="zh-CN"/>
              </w:rPr>
              <w:t>下</w:t>
            </w:r>
            <w:r>
              <w:rPr>
                <w:color w:val="auto"/>
                <w:sz w:val="24"/>
              </w:rPr>
              <w:t>表</w:t>
            </w:r>
            <w:r>
              <w:rPr>
                <w:rFonts w:hint="eastAsia"/>
                <w:color w:val="auto"/>
                <w:sz w:val="24"/>
                <w:lang w:eastAsia="zh-CN"/>
              </w:rPr>
              <w:t>：</w:t>
            </w:r>
          </w:p>
          <w:p w14:paraId="162097BC">
            <w:pPr>
              <w:spacing w:line="240" w:lineRule="auto"/>
              <w:ind w:firstLine="0" w:firstLineChars="0"/>
              <w:jc w:val="center"/>
              <w:rPr>
                <w:rFonts w:hint="eastAsia" w:ascii="Times New Roman" w:hAnsi="Times New Roman" w:eastAsia="宋体" w:cs="宋体"/>
                <w:b/>
                <w:color w:val="auto"/>
                <w:kern w:val="0"/>
                <w:sz w:val="21"/>
                <w:szCs w:val="21"/>
                <w:highlight w:val="none"/>
              </w:rPr>
            </w:pPr>
            <w:r>
              <w:rPr>
                <w:rFonts w:hint="eastAsia" w:ascii="Times New Roman" w:hAnsi="Times New Roman" w:eastAsia="宋体" w:cs="宋体"/>
                <w:b/>
                <w:color w:val="auto"/>
                <w:kern w:val="0"/>
                <w:sz w:val="21"/>
                <w:szCs w:val="21"/>
                <w:highlight w:val="none"/>
              </w:rPr>
              <w:t>表</w:t>
            </w:r>
            <w:r>
              <w:rPr>
                <w:rFonts w:hint="eastAsia" w:cs="宋体"/>
                <w:b/>
                <w:color w:val="auto"/>
                <w:kern w:val="0"/>
                <w:sz w:val="21"/>
                <w:szCs w:val="21"/>
                <w:highlight w:val="none"/>
                <w:lang w:val="en-US" w:eastAsia="zh-CN"/>
              </w:rPr>
              <w:t>2-7</w:t>
            </w:r>
            <w:r>
              <w:rPr>
                <w:rFonts w:hint="eastAsia" w:ascii="Times New Roman" w:hAnsi="Times New Roman" w:eastAsia="宋体" w:cs="宋体"/>
                <w:b/>
                <w:color w:val="auto"/>
                <w:kern w:val="0"/>
                <w:sz w:val="21"/>
                <w:szCs w:val="21"/>
                <w:highlight w:val="none"/>
              </w:rPr>
              <w:t xml:space="preserve"> </w:t>
            </w:r>
            <w:r>
              <w:rPr>
                <w:rFonts w:hint="eastAsia" w:ascii="Times New Roman" w:hAnsi="Times New Roman" w:eastAsia="宋体" w:cs="宋体"/>
                <w:b/>
                <w:color w:val="auto"/>
                <w:kern w:val="0"/>
                <w:sz w:val="21"/>
                <w:szCs w:val="21"/>
                <w:highlight w:val="none"/>
                <w:lang w:val="en-US" w:eastAsia="zh-CN"/>
              </w:rPr>
              <w:t>本项目</w:t>
            </w:r>
            <w:r>
              <w:rPr>
                <w:rFonts w:hint="eastAsia" w:ascii="Times New Roman" w:hAnsi="Times New Roman" w:eastAsia="宋体" w:cs="宋体"/>
                <w:b/>
                <w:color w:val="auto"/>
                <w:kern w:val="0"/>
                <w:sz w:val="21"/>
                <w:szCs w:val="21"/>
                <w:highlight w:val="none"/>
              </w:rPr>
              <w:t>主要污染工序及污染因子</w:t>
            </w:r>
          </w:p>
          <w:tbl>
            <w:tblPr>
              <w:tblStyle w:val="25"/>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426"/>
              <w:gridCol w:w="2142"/>
              <w:gridCol w:w="2794"/>
              <w:gridCol w:w="2951"/>
            </w:tblGrid>
            <w:tr w14:paraId="0DE7C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3" w:type="pct"/>
                  <w:noWrap w:val="0"/>
                  <w:vAlign w:val="center"/>
                </w:tcPr>
                <w:p w14:paraId="256D9E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bCs/>
                      <w:color w:val="auto"/>
                      <w:sz w:val="21"/>
                      <w:szCs w:val="21"/>
                      <w:highlight w:val="none"/>
                      <w:lang w:eastAsia="zh-CN"/>
                    </w:rPr>
                  </w:pPr>
                  <w:r>
                    <w:rPr>
                      <w:rFonts w:hint="eastAsia" w:ascii="Times New Roman" w:hAnsi="Times New Roman" w:eastAsia="宋体"/>
                      <w:b/>
                      <w:bCs/>
                      <w:color w:val="auto"/>
                      <w:sz w:val="21"/>
                      <w:szCs w:val="21"/>
                      <w:highlight w:val="none"/>
                    </w:rPr>
                    <w:t>类别</w:t>
                  </w:r>
                </w:p>
              </w:tc>
              <w:tc>
                <w:tcPr>
                  <w:tcW w:w="1435" w:type="pct"/>
                  <w:gridSpan w:val="2"/>
                  <w:noWrap w:val="0"/>
                  <w:vAlign w:val="center"/>
                </w:tcPr>
                <w:p w14:paraId="311C3C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bCs/>
                      <w:color w:val="auto"/>
                      <w:sz w:val="21"/>
                      <w:szCs w:val="21"/>
                      <w:highlight w:val="none"/>
                    </w:rPr>
                  </w:pPr>
                  <w:r>
                    <w:rPr>
                      <w:rFonts w:hint="eastAsia" w:ascii="Times New Roman" w:hAnsi="Times New Roman" w:eastAsia="宋体"/>
                      <w:b/>
                      <w:bCs/>
                      <w:color w:val="auto"/>
                      <w:sz w:val="21"/>
                      <w:szCs w:val="21"/>
                      <w:highlight w:val="none"/>
                    </w:rPr>
                    <w:t>污染源</w:t>
                  </w:r>
                </w:p>
              </w:tc>
              <w:tc>
                <w:tcPr>
                  <w:tcW w:w="1561" w:type="pct"/>
                  <w:noWrap w:val="0"/>
                  <w:vAlign w:val="center"/>
                </w:tcPr>
                <w:p w14:paraId="749095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bCs/>
                      <w:color w:val="auto"/>
                      <w:sz w:val="21"/>
                      <w:szCs w:val="21"/>
                      <w:highlight w:val="none"/>
                    </w:rPr>
                  </w:pPr>
                  <w:r>
                    <w:rPr>
                      <w:rFonts w:hint="eastAsia" w:ascii="Times New Roman" w:hAnsi="Times New Roman" w:eastAsia="宋体"/>
                      <w:b/>
                      <w:bCs/>
                      <w:color w:val="auto"/>
                      <w:sz w:val="21"/>
                      <w:szCs w:val="21"/>
                      <w:highlight w:val="none"/>
                    </w:rPr>
                    <w:t>产生工序</w:t>
                  </w:r>
                </w:p>
              </w:tc>
              <w:tc>
                <w:tcPr>
                  <w:tcW w:w="1649" w:type="pct"/>
                  <w:noWrap w:val="0"/>
                  <w:vAlign w:val="center"/>
                </w:tcPr>
                <w:p w14:paraId="353CBB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bCs/>
                      <w:color w:val="auto"/>
                      <w:sz w:val="21"/>
                      <w:szCs w:val="21"/>
                      <w:highlight w:val="none"/>
                    </w:rPr>
                  </w:pPr>
                  <w:r>
                    <w:rPr>
                      <w:rFonts w:hint="eastAsia" w:ascii="Times New Roman" w:hAnsi="Times New Roman" w:eastAsia="宋体"/>
                      <w:b/>
                      <w:bCs/>
                      <w:color w:val="auto"/>
                      <w:sz w:val="21"/>
                      <w:szCs w:val="21"/>
                      <w:highlight w:val="none"/>
                    </w:rPr>
                    <w:t>主要污染因子</w:t>
                  </w:r>
                </w:p>
              </w:tc>
            </w:tr>
            <w:tr w14:paraId="64C2F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3" w:type="pct"/>
                  <w:vMerge w:val="restart"/>
                  <w:noWrap w:val="0"/>
                  <w:vAlign w:val="center"/>
                </w:tcPr>
                <w:p w14:paraId="323965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废气</w:t>
                  </w:r>
                </w:p>
              </w:tc>
              <w:tc>
                <w:tcPr>
                  <w:tcW w:w="1435" w:type="pct"/>
                  <w:gridSpan w:val="2"/>
                  <w:noWrap w:val="0"/>
                  <w:vAlign w:val="center"/>
                </w:tcPr>
                <w:p w14:paraId="666A88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eastAsia="zh-CN"/>
                    </w:rPr>
                    <w:t>发酵废气</w:t>
                  </w:r>
                </w:p>
              </w:tc>
              <w:tc>
                <w:tcPr>
                  <w:tcW w:w="1561" w:type="pct"/>
                  <w:noWrap w:val="0"/>
                  <w:vAlign w:val="center"/>
                </w:tcPr>
                <w:p w14:paraId="0F0A96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发酵过程</w:t>
                  </w:r>
                </w:p>
              </w:tc>
              <w:tc>
                <w:tcPr>
                  <w:tcW w:w="1649" w:type="pct"/>
                  <w:noWrap w:val="0"/>
                  <w:vAlign w:val="center"/>
                </w:tcPr>
                <w:p w14:paraId="68E346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非甲烷总烃</w:t>
                  </w:r>
                </w:p>
              </w:tc>
            </w:tr>
            <w:tr w14:paraId="558053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3" w:type="pct"/>
                  <w:vMerge w:val="continue"/>
                  <w:noWrap w:val="0"/>
                  <w:vAlign w:val="center"/>
                </w:tcPr>
                <w:p w14:paraId="08BCB4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p>
              </w:tc>
              <w:tc>
                <w:tcPr>
                  <w:tcW w:w="1435" w:type="pct"/>
                  <w:gridSpan w:val="2"/>
                  <w:noWrap w:val="0"/>
                  <w:vAlign w:val="center"/>
                </w:tcPr>
                <w:p w14:paraId="735EA7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eastAsia="zh-CN"/>
                    </w:rPr>
                  </w:pPr>
                  <w:r>
                    <w:rPr>
                      <w:rFonts w:hint="eastAsia"/>
                      <w:b w:val="0"/>
                      <w:bCs w:val="0"/>
                      <w:color w:val="auto"/>
                      <w:sz w:val="21"/>
                      <w:szCs w:val="21"/>
                      <w:highlight w:val="none"/>
                      <w:lang w:eastAsia="zh-CN"/>
                    </w:rPr>
                    <w:t>脱醇废气</w:t>
                  </w:r>
                </w:p>
              </w:tc>
              <w:tc>
                <w:tcPr>
                  <w:tcW w:w="1561" w:type="pct"/>
                  <w:noWrap w:val="0"/>
                  <w:vAlign w:val="center"/>
                </w:tcPr>
                <w:p w14:paraId="6BCFDE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脱醇过程</w:t>
                  </w:r>
                </w:p>
              </w:tc>
              <w:tc>
                <w:tcPr>
                  <w:tcW w:w="1649" w:type="pct"/>
                  <w:noWrap w:val="0"/>
                  <w:vAlign w:val="center"/>
                </w:tcPr>
                <w:p w14:paraId="42BBEA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非甲烷总烃</w:t>
                  </w:r>
                </w:p>
              </w:tc>
            </w:tr>
            <w:tr w14:paraId="3F09DB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3" w:type="pct"/>
                  <w:vMerge w:val="continue"/>
                  <w:noWrap w:val="0"/>
                  <w:vAlign w:val="center"/>
                </w:tcPr>
                <w:p w14:paraId="18EC84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p>
              </w:tc>
              <w:tc>
                <w:tcPr>
                  <w:tcW w:w="1435" w:type="pct"/>
                  <w:gridSpan w:val="2"/>
                  <w:noWrap w:val="0"/>
                  <w:vAlign w:val="center"/>
                </w:tcPr>
                <w:p w14:paraId="41ACC2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堆存废气</w:t>
                  </w:r>
                </w:p>
              </w:tc>
              <w:tc>
                <w:tcPr>
                  <w:tcW w:w="1561" w:type="pct"/>
                  <w:noWrap w:val="0"/>
                  <w:vAlign w:val="center"/>
                </w:tcPr>
                <w:p w14:paraId="4F153F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过滤残渣堆</w:t>
                  </w:r>
                </w:p>
              </w:tc>
              <w:tc>
                <w:tcPr>
                  <w:tcW w:w="1649" w:type="pct"/>
                  <w:noWrap w:val="0"/>
                  <w:vAlign w:val="center"/>
                </w:tcPr>
                <w:p w14:paraId="4A8A78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臭气浓度、硫化氢、氨气</w:t>
                  </w:r>
                </w:p>
              </w:tc>
            </w:tr>
            <w:tr w14:paraId="45D23B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trPr>
              <w:tc>
                <w:tcPr>
                  <w:tcW w:w="353" w:type="pct"/>
                  <w:vMerge w:val="restart"/>
                  <w:noWrap w:val="0"/>
                  <w:vAlign w:val="center"/>
                </w:tcPr>
                <w:p w14:paraId="07D1CB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废水</w:t>
                  </w:r>
                </w:p>
              </w:tc>
              <w:tc>
                <w:tcPr>
                  <w:tcW w:w="1435" w:type="pct"/>
                  <w:gridSpan w:val="2"/>
                  <w:noWrap w:val="0"/>
                  <w:vAlign w:val="center"/>
                </w:tcPr>
                <w:p w14:paraId="7CFCA6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生活污水</w:t>
                  </w:r>
                </w:p>
              </w:tc>
              <w:tc>
                <w:tcPr>
                  <w:tcW w:w="1561" w:type="pct"/>
                  <w:noWrap w:val="0"/>
                  <w:vAlign w:val="center"/>
                </w:tcPr>
                <w:p w14:paraId="63C97E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z w:val="21"/>
                      <w:szCs w:val="21"/>
                      <w:highlight w:val="none"/>
                      <w:lang w:val="en-US" w:eastAsia="zh-CN"/>
                    </w:rPr>
                  </w:pPr>
                  <w:r>
                    <w:rPr>
                      <w:rFonts w:hint="default"/>
                      <w:b w:val="0"/>
                      <w:bCs w:val="0"/>
                      <w:color w:val="auto"/>
                      <w:sz w:val="21"/>
                      <w:szCs w:val="21"/>
                      <w:highlight w:val="none"/>
                      <w:lang w:val="en-US" w:eastAsia="zh-CN"/>
                    </w:rPr>
                    <w:t>职工日常生活办公</w:t>
                  </w:r>
                </w:p>
              </w:tc>
              <w:tc>
                <w:tcPr>
                  <w:tcW w:w="1649" w:type="pct"/>
                  <w:vMerge w:val="restart"/>
                  <w:noWrap w:val="0"/>
                  <w:vAlign w:val="center"/>
                </w:tcPr>
                <w:p w14:paraId="0B9CD3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val="0"/>
                      <w:color w:val="auto"/>
                      <w:sz w:val="21"/>
                      <w:szCs w:val="21"/>
                      <w:highlight w:val="none"/>
                      <w:lang w:val="en-US" w:eastAsia="zh-CN"/>
                    </w:rPr>
                  </w:pPr>
                  <w:r>
                    <w:rPr>
                      <w:rFonts w:hint="default" w:ascii="Times New Roman" w:hAnsi="Times New Roman" w:eastAsia="宋体"/>
                      <w:b w:val="0"/>
                      <w:bCs w:val="0"/>
                      <w:color w:val="auto"/>
                      <w:sz w:val="21"/>
                      <w:szCs w:val="21"/>
                      <w:highlight w:val="none"/>
                      <w:lang w:val="en-US" w:eastAsia="zh-CN"/>
                    </w:rPr>
                    <w:t>pH、COD、BOD</w:t>
                  </w:r>
                  <w:r>
                    <w:rPr>
                      <w:rFonts w:hint="default" w:ascii="Times New Roman" w:hAnsi="Times New Roman" w:eastAsia="宋体"/>
                      <w:b w:val="0"/>
                      <w:bCs w:val="0"/>
                      <w:color w:val="auto"/>
                      <w:sz w:val="21"/>
                      <w:szCs w:val="21"/>
                      <w:highlight w:val="none"/>
                      <w:vertAlign w:val="subscript"/>
                      <w:lang w:val="en-US" w:eastAsia="zh-CN"/>
                    </w:rPr>
                    <w:t>5</w:t>
                  </w:r>
                  <w:r>
                    <w:rPr>
                      <w:rFonts w:hint="default" w:ascii="Times New Roman" w:hAnsi="Times New Roman" w:eastAsia="宋体"/>
                      <w:b w:val="0"/>
                      <w:bCs w:val="0"/>
                      <w:color w:val="auto"/>
                      <w:sz w:val="21"/>
                      <w:szCs w:val="21"/>
                      <w:highlight w:val="none"/>
                      <w:lang w:val="en-US" w:eastAsia="zh-CN"/>
                    </w:rPr>
                    <w:t>、SS、氨氮、总氮、总磷</w:t>
                  </w:r>
                </w:p>
              </w:tc>
            </w:tr>
            <w:tr w14:paraId="6415B6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3" w:type="pct"/>
                  <w:vMerge w:val="continue"/>
                  <w:noWrap w:val="0"/>
                  <w:vAlign w:val="center"/>
                </w:tcPr>
                <w:p w14:paraId="5A8568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1435" w:type="pct"/>
                  <w:gridSpan w:val="2"/>
                  <w:noWrap w:val="0"/>
                  <w:vAlign w:val="center"/>
                </w:tcPr>
                <w:p w14:paraId="3E74E3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设备清洗废水</w:t>
                  </w:r>
                </w:p>
              </w:tc>
              <w:tc>
                <w:tcPr>
                  <w:tcW w:w="1561" w:type="pct"/>
                  <w:noWrap w:val="0"/>
                  <w:vAlign w:val="center"/>
                </w:tcPr>
                <w:p w14:paraId="018162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发酵过程</w:t>
                  </w:r>
                </w:p>
              </w:tc>
              <w:tc>
                <w:tcPr>
                  <w:tcW w:w="1649" w:type="pct"/>
                  <w:vMerge w:val="continue"/>
                  <w:noWrap w:val="0"/>
                  <w:vAlign w:val="center"/>
                </w:tcPr>
                <w:p w14:paraId="7B2ED60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center"/>
                    <w:textAlignment w:val="auto"/>
                    <w:rPr>
                      <w:rFonts w:hint="eastAsia"/>
                      <w:b w:val="0"/>
                      <w:bCs w:val="0"/>
                      <w:color w:val="auto"/>
                      <w:sz w:val="21"/>
                      <w:szCs w:val="21"/>
                      <w:highlight w:val="none"/>
                      <w:lang w:val="en-US" w:eastAsia="zh-CN"/>
                    </w:rPr>
                  </w:pPr>
                </w:p>
              </w:tc>
            </w:tr>
            <w:tr w14:paraId="44E8CA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3" w:type="pct"/>
                  <w:vMerge w:val="continue"/>
                  <w:noWrap w:val="0"/>
                  <w:vAlign w:val="center"/>
                </w:tcPr>
                <w:p w14:paraId="07FA34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1435" w:type="pct"/>
                  <w:gridSpan w:val="2"/>
                  <w:noWrap w:val="0"/>
                  <w:vAlign w:val="center"/>
                </w:tcPr>
                <w:p w14:paraId="073012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空瓶清洗废水</w:t>
                  </w:r>
                </w:p>
              </w:tc>
              <w:tc>
                <w:tcPr>
                  <w:tcW w:w="1561" w:type="pct"/>
                  <w:noWrap w:val="0"/>
                  <w:vAlign w:val="center"/>
                </w:tcPr>
                <w:p w14:paraId="070038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灌装过程</w:t>
                  </w:r>
                </w:p>
              </w:tc>
              <w:tc>
                <w:tcPr>
                  <w:tcW w:w="1649" w:type="pct"/>
                  <w:vMerge w:val="continue"/>
                  <w:noWrap w:val="0"/>
                  <w:vAlign w:val="center"/>
                </w:tcPr>
                <w:p w14:paraId="4B13517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center"/>
                    <w:textAlignment w:val="auto"/>
                    <w:rPr>
                      <w:rFonts w:hint="eastAsia"/>
                      <w:b w:val="0"/>
                      <w:bCs w:val="0"/>
                      <w:color w:val="auto"/>
                      <w:sz w:val="21"/>
                      <w:szCs w:val="21"/>
                      <w:highlight w:val="none"/>
                      <w:lang w:val="en-US" w:eastAsia="zh-CN"/>
                    </w:rPr>
                  </w:pPr>
                </w:p>
              </w:tc>
            </w:tr>
            <w:tr w14:paraId="02DF5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3" w:type="pct"/>
                  <w:vMerge w:val="continue"/>
                  <w:noWrap w:val="0"/>
                  <w:vAlign w:val="center"/>
                </w:tcPr>
                <w:p w14:paraId="15B234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1435" w:type="pct"/>
                  <w:gridSpan w:val="2"/>
                  <w:noWrap w:val="0"/>
                  <w:vAlign w:val="center"/>
                </w:tcPr>
                <w:p w14:paraId="63EC0A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试验仪器清洗废水</w:t>
                  </w:r>
                </w:p>
              </w:tc>
              <w:tc>
                <w:tcPr>
                  <w:tcW w:w="1561" w:type="pct"/>
                  <w:noWrap w:val="0"/>
                  <w:vAlign w:val="center"/>
                </w:tcPr>
                <w:p w14:paraId="222D33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检验过程</w:t>
                  </w:r>
                </w:p>
              </w:tc>
              <w:tc>
                <w:tcPr>
                  <w:tcW w:w="1649" w:type="pct"/>
                  <w:vMerge w:val="continue"/>
                  <w:noWrap w:val="0"/>
                  <w:vAlign w:val="center"/>
                </w:tcPr>
                <w:p w14:paraId="2786AF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p>
              </w:tc>
            </w:tr>
            <w:tr w14:paraId="6E34EA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3" w:type="pct"/>
                  <w:vMerge w:val="continue"/>
                  <w:noWrap w:val="0"/>
                  <w:vAlign w:val="center"/>
                </w:tcPr>
                <w:p w14:paraId="622944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p>
              </w:tc>
              <w:tc>
                <w:tcPr>
                  <w:tcW w:w="1435" w:type="pct"/>
                  <w:gridSpan w:val="2"/>
                  <w:noWrap w:val="0"/>
                  <w:vAlign w:val="center"/>
                </w:tcPr>
                <w:p w14:paraId="46D1DF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纯水制备浓水</w:t>
                  </w:r>
                </w:p>
              </w:tc>
              <w:tc>
                <w:tcPr>
                  <w:tcW w:w="1561" w:type="pct"/>
                  <w:noWrap w:val="0"/>
                  <w:vAlign w:val="center"/>
                </w:tcPr>
                <w:p w14:paraId="76B47D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纯水制备</w:t>
                  </w:r>
                </w:p>
              </w:tc>
              <w:tc>
                <w:tcPr>
                  <w:tcW w:w="1649" w:type="pct"/>
                  <w:vMerge w:val="continue"/>
                  <w:noWrap w:val="0"/>
                  <w:vAlign w:val="center"/>
                </w:tcPr>
                <w:p w14:paraId="6F930F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p>
              </w:tc>
            </w:tr>
            <w:tr w14:paraId="35979F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3" w:type="pct"/>
                  <w:noWrap w:val="0"/>
                  <w:vAlign w:val="center"/>
                </w:tcPr>
                <w:p w14:paraId="5B214A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噪声</w:t>
                  </w:r>
                </w:p>
              </w:tc>
              <w:tc>
                <w:tcPr>
                  <w:tcW w:w="1435" w:type="pct"/>
                  <w:gridSpan w:val="2"/>
                  <w:noWrap w:val="0"/>
                  <w:vAlign w:val="center"/>
                </w:tcPr>
                <w:p w14:paraId="14BF6F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val="0"/>
                      <w:bCs w:val="0"/>
                      <w:color w:val="auto"/>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噪声</w:t>
                  </w:r>
                </w:p>
              </w:tc>
              <w:tc>
                <w:tcPr>
                  <w:tcW w:w="1561" w:type="pct"/>
                  <w:noWrap w:val="0"/>
                  <w:vAlign w:val="center"/>
                </w:tcPr>
                <w:p w14:paraId="7F69BB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灌装机、过滤设备等设施运行</w:t>
                  </w:r>
                </w:p>
              </w:tc>
              <w:tc>
                <w:tcPr>
                  <w:tcW w:w="1649" w:type="pct"/>
                  <w:noWrap w:val="0"/>
                  <w:vAlign w:val="center"/>
                </w:tcPr>
                <w:p w14:paraId="108D48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等效连续</w:t>
                  </w:r>
                  <w:r>
                    <w:rPr>
                      <w:rFonts w:hint="eastAsia" w:ascii="Times New Roman" w:hAnsi="Times New Roman" w:eastAsia="宋体" w:cs="Times New Roman"/>
                      <w:b w:val="0"/>
                      <w:bCs w:val="0"/>
                      <w:color w:val="auto"/>
                      <w:sz w:val="21"/>
                      <w:szCs w:val="21"/>
                      <w:highlight w:val="none"/>
                      <w:lang w:val="en-US" w:eastAsia="zh-CN"/>
                    </w:rPr>
                    <w:t>A</w:t>
                  </w:r>
                  <w:r>
                    <w:rPr>
                      <w:rFonts w:hint="default" w:ascii="Times New Roman" w:hAnsi="Times New Roman" w:eastAsia="宋体" w:cs="Times New Roman"/>
                      <w:b w:val="0"/>
                      <w:bCs w:val="0"/>
                      <w:color w:val="auto"/>
                      <w:sz w:val="21"/>
                      <w:szCs w:val="21"/>
                      <w:highlight w:val="none"/>
                    </w:rPr>
                    <w:t>声级</w:t>
                  </w:r>
                </w:p>
              </w:tc>
            </w:tr>
            <w:tr w14:paraId="761827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53" w:type="pct"/>
                  <w:vMerge w:val="restart"/>
                  <w:noWrap w:val="0"/>
                  <w:vAlign w:val="center"/>
                </w:tcPr>
                <w:p w14:paraId="082BC7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固废</w:t>
                  </w:r>
                </w:p>
              </w:tc>
              <w:tc>
                <w:tcPr>
                  <w:tcW w:w="238" w:type="pct"/>
                  <w:vMerge w:val="restart"/>
                  <w:noWrap w:val="0"/>
                  <w:vAlign w:val="center"/>
                </w:tcPr>
                <w:p w14:paraId="534D92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一般工业固废</w:t>
                  </w:r>
                </w:p>
              </w:tc>
              <w:tc>
                <w:tcPr>
                  <w:tcW w:w="1197" w:type="pct"/>
                  <w:noWrap w:val="0"/>
                  <w:vAlign w:val="center"/>
                </w:tcPr>
                <w:p w14:paraId="494FA1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废包装材料</w:t>
                  </w:r>
                </w:p>
              </w:tc>
              <w:tc>
                <w:tcPr>
                  <w:tcW w:w="1561" w:type="pct"/>
                  <w:vMerge w:val="restart"/>
                  <w:noWrap w:val="0"/>
                  <w:vAlign w:val="center"/>
                </w:tcPr>
                <w:p w14:paraId="4DC137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原料领用、精选过程</w:t>
                  </w:r>
                </w:p>
              </w:tc>
              <w:tc>
                <w:tcPr>
                  <w:tcW w:w="1649" w:type="pct"/>
                  <w:noWrap w:val="0"/>
                  <w:vAlign w:val="center"/>
                </w:tcPr>
                <w:p w14:paraId="2C6229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w:t>
                  </w:r>
                </w:p>
              </w:tc>
            </w:tr>
            <w:tr w14:paraId="6A8DAB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53" w:type="pct"/>
                  <w:vMerge w:val="continue"/>
                  <w:noWrap w:val="0"/>
                  <w:vAlign w:val="center"/>
                </w:tcPr>
                <w:p w14:paraId="243DE5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highlight w:val="none"/>
                      <w:lang w:val="en-US" w:eastAsia="zh-CN"/>
                    </w:rPr>
                  </w:pPr>
                </w:p>
              </w:tc>
              <w:tc>
                <w:tcPr>
                  <w:tcW w:w="238" w:type="pct"/>
                  <w:vMerge w:val="continue"/>
                  <w:noWrap w:val="0"/>
                  <w:vAlign w:val="center"/>
                </w:tcPr>
                <w:p w14:paraId="66EE45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sz w:val="21"/>
                      <w:szCs w:val="21"/>
                      <w:highlight w:val="none"/>
                      <w:lang w:val="en-US" w:eastAsia="zh-CN"/>
                    </w:rPr>
                  </w:pPr>
                </w:p>
              </w:tc>
              <w:tc>
                <w:tcPr>
                  <w:tcW w:w="1197" w:type="pct"/>
                  <w:noWrap w:val="0"/>
                  <w:vAlign w:val="center"/>
                </w:tcPr>
                <w:p w14:paraId="10ACF2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kern w:val="2"/>
                      <w:sz w:val="21"/>
                      <w:szCs w:val="21"/>
                      <w:highlight w:val="none"/>
                      <w:lang w:val="en-US" w:eastAsia="zh-CN" w:bidi="ar-SA"/>
                    </w:rPr>
                    <w:t>废</w:t>
                  </w:r>
                  <w:r>
                    <w:rPr>
                      <w:rFonts w:hint="eastAsia" w:cs="Times New Roman"/>
                      <w:b w:val="0"/>
                      <w:bCs w:val="0"/>
                      <w:color w:val="auto"/>
                      <w:kern w:val="2"/>
                      <w:sz w:val="21"/>
                      <w:szCs w:val="21"/>
                      <w:highlight w:val="none"/>
                      <w:lang w:val="en-US" w:eastAsia="zh-CN" w:bidi="ar-SA"/>
                    </w:rPr>
                    <w:t>烂果品</w:t>
                  </w:r>
                </w:p>
              </w:tc>
              <w:tc>
                <w:tcPr>
                  <w:tcW w:w="1561" w:type="pct"/>
                  <w:vMerge w:val="continue"/>
                  <w:noWrap w:val="0"/>
                  <w:vAlign w:val="center"/>
                </w:tcPr>
                <w:p w14:paraId="3A014D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z w:val="21"/>
                      <w:szCs w:val="21"/>
                      <w:highlight w:val="none"/>
                      <w:lang w:val="en-US" w:eastAsia="zh-CN"/>
                    </w:rPr>
                  </w:pPr>
                </w:p>
              </w:tc>
              <w:tc>
                <w:tcPr>
                  <w:tcW w:w="1649" w:type="pct"/>
                  <w:noWrap w:val="0"/>
                  <w:vAlign w:val="center"/>
                </w:tcPr>
                <w:p w14:paraId="515B8B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w:t>
                  </w:r>
                </w:p>
              </w:tc>
            </w:tr>
            <w:tr w14:paraId="6CE773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53" w:type="pct"/>
                  <w:vMerge w:val="continue"/>
                  <w:noWrap w:val="0"/>
                  <w:vAlign w:val="center"/>
                </w:tcPr>
                <w:p w14:paraId="449224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238" w:type="pct"/>
                  <w:vMerge w:val="continue"/>
                  <w:noWrap w:val="0"/>
                  <w:vAlign w:val="center"/>
                </w:tcPr>
                <w:p w14:paraId="263370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1197" w:type="pct"/>
                  <w:noWrap w:val="0"/>
                  <w:vAlign w:val="center"/>
                </w:tcPr>
                <w:p w14:paraId="08472E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color w:val="auto"/>
                      <w:kern w:val="2"/>
                      <w:sz w:val="21"/>
                      <w:szCs w:val="21"/>
                      <w:highlight w:val="none"/>
                      <w:lang w:val="en-US" w:eastAsia="zh-CN" w:bidi="ar-SA"/>
                    </w:rPr>
                    <w:t>过滤残渣</w:t>
                  </w:r>
                </w:p>
              </w:tc>
              <w:tc>
                <w:tcPr>
                  <w:tcW w:w="1561" w:type="pct"/>
                  <w:noWrap w:val="0"/>
                  <w:vAlign w:val="center"/>
                </w:tcPr>
                <w:p w14:paraId="2200B2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kern w:val="2"/>
                      <w:sz w:val="21"/>
                      <w:szCs w:val="21"/>
                      <w:highlight w:val="none"/>
                      <w:lang w:val="en-US" w:eastAsia="zh-CN" w:bidi="ar-SA"/>
                    </w:rPr>
                    <w:t>粗滤、精滤过程</w:t>
                  </w:r>
                </w:p>
              </w:tc>
              <w:tc>
                <w:tcPr>
                  <w:tcW w:w="1649" w:type="pct"/>
                  <w:noWrap w:val="0"/>
                  <w:vAlign w:val="center"/>
                </w:tcPr>
                <w:p w14:paraId="34A6DC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r>
            <w:tr w14:paraId="37131B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3" w:type="pct"/>
                  <w:vMerge w:val="continue"/>
                  <w:noWrap w:val="0"/>
                  <w:vAlign w:val="center"/>
                </w:tcPr>
                <w:p w14:paraId="237D01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p>
              </w:tc>
              <w:tc>
                <w:tcPr>
                  <w:tcW w:w="238" w:type="pct"/>
                  <w:vMerge w:val="restart"/>
                  <w:noWrap w:val="0"/>
                  <w:vAlign w:val="center"/>
                </w:tcPr>
                <w:p w14:paraId="288AE1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危险废物</w:t>
                  </w:r>
                </w:p>
              </w:tc>
              <w:tc>
                <w:tcPr>
                  <w:tcW w:w="1197" w:type="pct"/>
                  <w:noWrap w:val="0"/>
                  <w:vAlign w:val="center"/>
                </w:tcPr>
                <w:p w14:paraId="02EC2F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废机油</w:t>
                  </w:r>
                </w:p>
              </w:tc>
              <w:tc>
                <w:tcPr>
                  <w:tcW w:w="1561" w:type="pct"/>
                  <w:noWrap w:val="0"/>
                  <w:vAlign w:val="center"/>
                </w:tcPr>
                <w:p w14:paraId="6FB257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生产设备检修保养过程</w:t>
                  </w:r>
                </w:p>
              </w:tc>
              <w:tc>
                <w:tcPr>
                  <w:tcW w:w="1649" w:type="pct"/>
                  <w:noWrap w:val="0"/>
                  <w:vAlign w:val="center"/>
                </w:tcPr>
                <w:p w14:paraId="28AEA8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b w:val="0"/>
                      <w:bCs w:val="0"/>
                      <w:color w:val="auto"/>
                      <w:sz w:val="21"/>
                      <w:szCs w:val="21"/>
                      <w:highlight w:val="none"/>
                      <w:lang w:val="en-US" w:eastAsia="zh-CN"/>
                    </w:rPr>
                  </w:pPr>
                  <w:r>
                    <w:rPr>
                      <w:rFonts w:hint="eastAsia"/>
                      <w:b w:val="0"/>
                      <w:bCs w:val="0"/>
                      <w:color w:val="auto"/>
                      <w:sz w:val="21"/>
                      <w:szCs w:val="21"/>
                      <w:highlight w:val="none"/>
                      <w:lang w:val="en-US" w:eastAsia="zh-CN"/>
                    </w:rPr>
                    <w:t>/</w:t>
                  </w:r>
                </w:p>
              </w:tc>
            </w:tr>
            <w:tr w14:paraId="23122E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3" w:type="pct"/>
                  <w:vMerge w:val="continue"/>
                  <w:noWrap w:val="0"/>
                  <w:vAlign w:val="center"/>
                </w:tcPr>
                <w:p w14:paraId="4F6650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p>
              </w:tc>
              <w:tc>
                <w:tcPr>
                  <w:tcW w:w="238" w:type="pct"/>
                  <w:vMerge w:val="continue"/>
                  <w:noWrap w:val="0"/>
                  <w:vAlign w:val="center"/>
                </w:tcPr>
                <w:p w14:paraId="59592B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val="0"/>
                      <w:color w:val="auto"/>
                      <w:sz w:val="21"/>
                      <w:szCs w:val="21"/>
                      <w:highlight w:val="none"/>
                      <w:lang w:val="en-US" w:eastAsia="zh-CN"/>
                    </w:rPr>
                  </w:pPr>
                </w:p>
              </w:tc>
              <w:tc>
                <w:tcPr>
                  <w:tcW w:w="1197" w:type="pct"/>
                  <w:noWrap w:val="0"/>
                  <w:vAlign w:val="center"/>
                </w:tcPr>
                <w:p w14:paraId="6B8044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val="0"/>
                      <w:bCs w:val="0"/>
                      <w:color w:val="auto"/>
                      <w:sz w:val="21"/>
                      <w:szCs w:val="21"/>
                      <w:highlight w:val="none"/>
                      <w:lang w:val="en-US" w:eastAsia="zh-CN"/>
                    </w:rPr>
                  </w:pPr>
                  <w:bookmarkStart w:id="33" w:name="OLE_LINK176"/>
                  <w:r>
                    <w:rPr>
                      <w:rFonts w:hint="eastAsia"/>
                      <w:b w:val="0"/>
                      <w:bCs w:val="0"/>
                      <w:color w:val="auto"/>
                      <w:sz w:val="21"/>
                      <w:szCs w:val="21"/>
                      <w:highlight w:val="none"/>
                      <w:lang w:val="en-US" w:eastAsia="zh-CN"/>
                    </w:rPr>
                    <w:t>试验废液</w:t>
                  </w:r>
                </w:p>
                <w:bookmarkEnd w:id="33"/>
              </w:tc>
              <w:tc>
                <w:tcPr>
                  <w:tcW w:w="1561" w:type="pct"/>
                  <w:noWrap w:val="0"/>
                  <w:vAlign w:val="center"/>
                </w:tcPr>
                <w:p w14:paraId="6829F3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color w:val="auto"/>
                      <w:kern w:val="2"/>
                      <w:sz w:val="21"/>
                      <w:szCs w:val="21"/>
                      <w:highlight w:val="none"/>
                      <w:lang w:val="en-US" w:eastAsia="zh-CN" w:bidi="ar-SA"/>
                    </w:rPr>
                    <w:t>检验过程</w:t>
                  </w:r>
                </w:p>
              </w:tc>
              <w:tc>
                <w:tcPr>
                  <w:tcW w:w="1649" w:type="pct"/>
                  <w:noWrap w:val="0"/>
                  <w:vAlign w:val="center"/>
                </w:tcPr>
                <w:p w14:paraId="6E9183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w:t>
                  </w:r>
                </w:p>
              </w:tc>
            </w:tr>
          </w:tbl>
          <w:p w14:paraId="03E7FE44">
            <w:pPr>
              <w:adjustRightInd w:val="0"/>
              <w:snapToGrid w:val="0"/>
              <w:rPr>
                <w:rFonts w:ascii="Times New Roman" w:hAnsi="Times New Roman" w:eastAsia="宋体"/>
                <w:bCs/>
                <w:color w:val="auto"/>
                <w:szCs w:val="21"/>
                <w:highlight w:val="none"/>
              </w:rPr>
            </w:pPr>
          </w:p>
        </w:tc>
      </w:tr>
      <w:tr w14:paraId="6688D1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0" w:hRule="atLeast"/>
        </w:trPr>
        <w:tc>
          <w:tcPr>
            <w:tcW w:w="806" w:type="dxa"/>
            <w:noWrap w:val="0"/>
            <w:vAlign w:val="center"/>
          </w:tcPr>
          <w:p w14:paraId="2FB475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highlight w:val="none"/>
              </w:rPr>
            </w:pPr>
            <w:r>
              <w:rPr>
                <w:rFonts w:hint="eastAsia" w:ascii="Times New Roman" w:hAnsi="Times New Roman" w:eastAsia="宋体"/>
                <w:color w:val="auto"/>
                <w:highlight w:val="none"/>
              </w:rPr>
              <w:t>与项目有关的原有环境污染问题</w:t>
            </w:r>
          </w:p>
        </w:tc>
        <w:tc>
          <w:tcPr>
            <w:tcW w:w="9196" w:type="dxa"/>
            <w:noWrap w:val="0"/>
            <w:vAlign w:val="center"/>
          </w:tcPr>
          <w:p w14:paraId="1EFF82B2">
            <w:pPr>
              <w:ind w:firstLine="480"/>
              <w:rPr>
                <w:color w:val="auto"/>
              </w:rPr>
            </w:pPr>
            <w:r>
              <w:rPr>
                <w:rFonts w:hint="eastAsia" w:cs="宋体"/>
                <w:color w:val="auto"/>
                <w:sz w:val="24"/>
              </w:rPr>
              <w:t>本项目</w:t>
            </w:r>
            <w:r>
              <w:rPr>
                <w:rFonts w:ascii="Times New Roman" w:hAnsi="Times New Roman" w:eastAsia="宋体" w:cs="宋体"/>
                <w:color w:val="auto"/>
                <w:kern w:val="0"/>
                <w:sz w:val="24"/>
                <w:szCs w:val="24"/>
                <w:lang w:val="en-US" w:eastAsia="zh-CN" w:bidi="ar"/>
              </w:rPr>
              <w:t>在推进过程中，受多重客观因素影响及企业经营规划调整，项目</w:t>
            </w:r>
            <w:r>
              <w:rPr>
                <w:rFonts w:hint="eastAsia" w:ascii="Times New Roman" w:hAnsi="Times New Roman" w:eastAsia="宋体" w:cs="宋体"/>
                <w:color w:val="auto"/>
                <w:kern w:val="0"/>
                <w:sz w:val="24"/>
                <w:szCs w:val="24"/>
                <w:lang w:val="en-US" w:eastAsia="zh-CN" w:bidi="ar"/>
              </w:rPr>
              <w:t>实际</w:t>
            </w:r>
            <w:r>
              <w:rPr>
                <w:rFonts w:ascii="Times New Roman" w:hAnsi="Times New Roman" w:eastAsia="宋体" w:cs="宋体"/>
                <w:color w:val="auto"/>
                <w:kern w:val="0"/>
                <w:sz w:val="24"/>
                <w:szCs w:val="24"/>
                <w:lang w:val="en-US" w:eastAsia="zh-CN" w:bidi="ar"/>
              </w:rPr>
              <w:t>投资额、建设内容发生变更，</w:t>
            </w:r>
            <w:r>
              <w:rPr>
                <w:rFonts w:hint="eastAsia" w:cs="宋体"/>
                <w:color w:val="auto"/>
                <w:sz w:val="24"/>
              </w:rPr>
              <w:t>租赁佛坪县秦泉饮料食品有限责任公司现有厂区。经现场实地调查核实，佛坪县秦泉饮料食品有限责任公司</w:t>
            </w:r>
            <w:r>
              <w:rPr>
                <w:rFonts w:hint="eastAsia" w:cs="宋体"/>
                <w:color w:val="auto"/>
                <w:sz w:val="24"/>
                <w:lang w:eastAsia="zh-CN"/>
              </w:rPr>
              <w:t>成立于</w:t>
            </w:r>
            <w:r>
              <w:rPr>
                <w:rFonts w:hint="eastAsia" w:cs="宋体"/>
                <w:color w:val="auto"/>
                <w:sz w:val="24"/>
                <w:lang w:val="en-US" w:eastAsia="zh-CN"/>
              </w:rPr>
              <w:t>80年代初</w:t>
            </w:r>
            <w:r>
              <w:rPr>
                <w:rFonts w:hint="eastAsia" w:cs="宋体"/>
                <w:color w:val="auto"/>
                <w:sz w:val="24"/>
              </w:rPr>
              <w:t>，厂区常年处于闲置状态，</w:t>
            </w:r>
            <w:r>
              <w:rPr>
                <w:rFonts w:hint="eastAsia" w:cs="宋体"/>
                <w:color w:val="auto"/>
                <w:sz w:val="24"/>
                <w:lang w:eastAsia="zh-CN"/>
              </w:rPr>
              <w:t>且于</w:t>
            </w:r>
            <w:r>
              <w:rPr>
                <w:rFonts w:hint="eastAsia" w:cs="宋体"/>
                <w:color w:val="auto"/>
                <w:sz w:val="24"/>
                <w:lang w:val="en-US" w:eastAsia="zh-CN"/>
              </w:rPr>
              <w:t>80年代末已停业注销，存续期间尚未出台</w:t>
            </w:r>
            <w:r>
              <w:rPr>
                <w:rFonts w:ascii="宋体" w:hAnsi="宋体" w:eastAsia="宋体" w:cs="宋体"/>
                <w:color w:val="auto"/>
                <w:sz w:val="24"/>
                <w:szCs w:val="24"/>
              </w:rPr>
              <w:t>《中华人民共和国环境影响评价法》</w:t>
            </w:r>
            <w:r>
              <w:rPr>
                <w:rFonts w:hint="eastAsia" w:ascii="宋体" w:hAnsi="宋体" w:eastAsia="宋体" w:cs="宋体"/>
                <w:color w:val="auto"/>
                <w:sz w:val="24"/>
                <w:szCs w:val="24"/>
                <w:lang w:eastAsia="zh-CN"/>
              </w:rPr>
              <w:t>，因此无任何环保审批及验收手续，</w:t>
            </w:r>
            <w:r>
              <w:rPr>
                <w:rFonts w:hint="eastAsia" w:cs="宋体"/>
                <w:color w:val="auto"/>
                <w:sz w:val="24"/>
              </w:rPr>
              <w:t>无生产废气、废水排放，无生产固废、废液堆存，厂区场地无生产遗留污染物。</w:t>
            </w:r>
          </w:p>
          <w:p w14:paraId="629010AC">
            <w:pPr>
              <w:ind w:firstLine="480"/>
              <w:rPr>
                <w:rFonts w:hint="eastAsia"/>
                <w:color w:val="auto"/>
                <w:lang w:val="en-US" w:eastAsia="zh-CN"/>
              </w:rPr>
            </w:pPr>
            <w:r>
              <w:rPr>
                <w:rFonts w:hint="eastAsia"/>
                <w:color w:val="FF0000"/>
                <w:lang w:val="en-US" w:eastAsia="zh-CN"/>
              </w:rPr>
              <w:t>本项目</w:t>
            </w:r>
            <w:r>
              <w:rPr>
                <w:rFonts w:hint="eastAsia" w:cs="Times New Roman"/>
                <w:color w:val="FF0000"/>
                <w:sz w:val="24"/>
                <w:szCs w:val="24"/>
                <w:highlight w:val="none"/>
                <w:lang w:val="en-US" w:eastAsia="zh-CN"/>
              </w:rPr>
              <w:t>山茱萸发酵酒生产线已于2022年9月开工建设，2024年8月建成</w:t>
            </w:r>
            <w:r>
              <w:rPr>
                <w:rFonts w:hint="eastAsia"/>
                <w:color w:val="FF0000"/>
                <w:sz w:val="24"/>
                <w:highlight w:val="none"/>
                <w:lang w:eastAsia="zh-CN"/>
              </w:rPr>
              <w:t>，发酵罐、陈酿罐、</w:t>
            </w:r>
            <w:r>
              <w:rPr>
                <w:rFonts w:hint="eastAsia"/>
                <w:color w:val="FF0000"/>
                <w:sz w:val="24"/>
                <w:highlight w:val="none"/>
                <w:lang w:val="en-US" w:eastAsia="zh-CN"/>
              </w:rPr>
              <w:t>四联双级达滤机等</w:t>
            </w:r>
            <w:r>
              <w:rPr>
                <w:rFonts w:hint="eastAsia"/>
                <w:color w:val="FF0000"/>
                <w:sz w:val="24"/>
                <w:highlight w:val="none"/>
                <w:lang w:eastAsia="zh-CN"/>
              </w:rPr>
              <w:t>设备均已进场，但未投入使用。</w:t>
            </w:r>
            <w:r>
              <w:rPr>
                <w:rFonts w:hint="eastAsia"/>
                <w:color w:val="auto"/>
                <w:lang w:val="en-US" w:eastAsia="zh-CN"/>
              </w:rPr>
              <w:t>目前存在的环境问题及整改措施见下表</w:t>
            </w:r>
          </w:p>
          <w:p w14:paraId="27CAB85C">
            <w:pPr>
              <w:spacing w:line="240" w:lineRule="auto"/>
              <w:ind w:firstLine="0" w:firstLineChars="0"/>
              <w:jc w:val="center"/>
              <w:rPr>
                <w:rFonts w:hint="eastAsia" w:ascii="Times New Roman" w:hAnsi="Times New Roman" w:eastAsia="宋体" w:cs="宋体"/>
                <w:b/>
                <w:color w:val="auto"/>
                <w:kern w:val="0"/>
                <w:sz w:val="21"/>
                <w:szCs w:val="21"/>
                <w:highlight w:val="none"/>
                <w:lang w:val="en-US" w:eastAsia="zh-CN"/>
              </w:rPr>
            </w:pPr>
            <w:r>
              <w:rPr>
                <w:rFonts w:hint="eastAsia" w:ascii="Times New Roman" w:hAnsi="Times New Roman" w:eastAsia="宋体" w:cs="宋体"/>
                <w:b/>
                <w:color w:val="auto"/>
                <w:kern w:val="0"/>
                <w:sz w:val="21"/>
                <w:szCs w:val="21"/>
                <w:highlight w:val="none"/>
                <w:lang w:val="en-US" w:eastAsia="zh-CN"/>
              </w:rPr>
              <w:t>表</w:t>
            </w:r>
            <w:r>
              <w:rPr>
                <w:rFonts w:hint="eastAsia" w:ascii="Times New Roman" w:hAnsi="Times New Roman" w:cs="宋体"/>
                <w:b/>
                <w:color w:val="auto"/>
                <w:kern w:val="0"/>
                <w:sz w:val="21"/>
                <w:szCs w:val="21"/>
                <w:highlight w:val="none"/>
                <w:lang w:val="en-US" w:eastAsia="zh-CN"/>
              </w:rPr>
              <w:t>2-7</w:t>
            </w:r>
            <w:r>
              <w:rPr>
                <w:rFonts w:hint="eastAsia" w:ascii="Times New Roman" w:hAnsi="Times New Roman" w:eastAsia="宋体" w:cs="宋体"/>
                <w:b/>
                <w:color w:val="auto"/>
                <w:kern w:val="0"/>
                <w:sz w:val="21"/>
                <w:szCs w:val="21"/>
                <w:highlight w:val="none"/>
                <w:lang w:val="en-US" w:eastAsia="zh-CN"/>
              </w:rPr>
              <w:t xml:space="preserve"> 项目存在的环境问题及整改措施</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804"/>
              <w:gridCol w:w="6202"/>
            </w:tblGrid>
            <w:tr w14:paraId="1C63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noWrap w:val="0"/>
                  <w:vAlign w:val="center"/>
                </w:tcPr>
                <w:p w14:paraId="47C6172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序号</w:t>
                  </w:r>
                </w:p>
              </w:tc>
              <w:tc>
                <w:tcPr>
                  <w:tcW w:w="1006" w:type="pct"/>
                  <w:noWrap w:val="0"/>
                  <w:vAlign w:val="center"/>
                </w:tcPr>
                <w:p w14:paraId="6F832C5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环保问题</w:t>
                  </w:r>
                </w:p>
              </w:tc>
              <w:tc>
                <w:tcPr>
                  <w:tcW w:w="3458" w:type="pct"/>
                  <w:noWrap w:val="0"/>
                  <w:vAlign w:val="center"/>
                </w:tcPr>
                <w:p w14:paraId="5B5063A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整改要求</w:t>
                  </w:r>
                </w:p>
              </w:tc>
            </w:tr>
            <w:tr w14:paraId="05E8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noWrap w:val="0"/>
                  <w:vAlign w:val="center"/>
                </w:tcPr>
                <w:p w14:paraId="04E43F1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w:t>
                  </w:r>
                </w:p>
              </w:tc>
              <w:tc>
                <w:tcPr>
                  <w:tcW w:w="1006" w:type="pct"/>
                  <w:noWrap w:val="0"/>
                  <w:vAlign w:val="center"/>
                </w:tcPr>
                <w:p w14:paraId="2F0ACB79">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eastAsia="宋体"/>
                      <w:color w:val="auto"/>
                      <w:sz w:val="21"/>
                      <w:szCs w:val="21"/>
                      <w:vertAlign w:val="baseline"/>
                      <w:lang w:val="en-US" w:eastAsia="zh-CN"/>
                    </w:rPr>
                  </w:pPr>
                  <w:r>
                    <w:rPr>
                      <w:rFonts w:hint="eastAsia" w:eastAsia="宋体"/>
                      <w:color w:val="auto"/>
                      <w:sz w:val="21"/>
                      <w:szCs w:val="21"/>
                      <w:vertAlign w:val="baseline"/>
                      <w:lang w:val="en-US" w:eastAsia="zh-CN"/>
                    </w:rPr>
                    <w:t>项目于2024年建成，未办理环评手续。</w:t>
                  </w:r>
                </w:p>
              </w:tc>
              <w:tc>
                <w:tcPr>
                  <w:tcW w:w="3458" w:type="pct"/>
                  <w:noWrap w:val="0"/>
                  <w:vAlign w:val="center"/>
                </w:tcPr>
                <w:p w14:paraId="520CA93E">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eastAsia="宋体"/>
                      <w:color w:val="auto"/>
                      <w:sz w:val="21"/>
                      <w:szCs w:val="21"/>
                      <w:vertAlign w:val="baseline"/>
                      <w:lang w:val="en-US" w:eastAsia="zh-CN"/>
                    </w:rPr>
                  </w:pPr>
                  <w:r>
                    <w:rPr>
                      <w:rFonts w:hint="eastAsia" w:eastAsia="宋体"/>
                      <w:color w:val="auto"/>
                      <w:sz w:val="21"/>
                      <w:szCs w:val="21"/>
                      <w:vertAlign w:val="baseline"/>
                      <w:lang w:val="en-US" w:eastAsia="zh-CN"/>
                    </w:rPr>
                    <w:t>建设单位依据“改扩建1条山茱萸酒生产线，未依法报批环境影响评价手续”受到汉中市生态环境局佛坪分局处罚，应按照相关要求及时补办环评手续。</w:t>
                  </w:r>
                </w:p>
              </w:tc>
            </w:tr>
          </w:tbl>
          <w:p w14:paraId="6583D4FC">
            <w:pPr>
              <w:spacing w:line="360" w:lineRule="auto"/>
              <w:ind w:firstLine="480" w:firstLineChars="200"/>
              <w:rPr>
                <w:rFonts w:hint="eastAsia" w:ascii="Times New Roman" w:hAnsi="Times New Roman" w:cs="Times New Roman"/>
                <w:color w:val="auto"/>
                <w:sz w:val="24"/>
              </w:rPr>
            </w:pPr>
            <w:r>
              <w:rPr>
                <w:rFonts w:hint="eastAsia" w:ascii="Times New Roman" w:hAnsi="Times New Roman" w:cs="Times New Roman"/>
                <w:color w:val="auto"/>
                <w:sz w:val="24"/>
              </w:rPr>
              <w:t>本次评价要求建设单位加强环境管理，根据相关环保政策和法规，制定企业环保方针目标</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编制企业环境保护计划，维护环保设施的正常运行和安全生产，确保污染物达标排放。</w:t>
            </w:r>
          </w:p>
          <w:p w14:paraId="376761E4">
            <w:pPr>
              <w:numPr>
                <w:ilvl w:val="0"/>
                <w:numId w:val="0"/>
              </w:numPr>
              <w:adjustRightInd w:val="0"/>
              <w:snapToGrid w:val="0"/>
              <w:spacing w:line="360" w:lineRule="auto"/>
              <w:ind w:firstLine="480" w:firstLineChars="200"/>
              <w:jc w:val="left"/>
              <w:rPr>
                <w:rFonts w:hint="default" w:ascii="Times New Roman" w:hAnsi="Times New Roman" w:cs="Times New Roman"/>
                <w:color w:val="auto"/>
                <w:sz w:val="24"/>
                <w:szCs w:val="24"/>
                <w:lang w:val="en-US" w:eastAsia="zh-CN"/>
              </w:rPr>
            </w:pPr>
          </w:p>
        </w:tc>
      </w:tr>
    </w:tbl>
    <w:p w14:paraId="30D71EED">
      <w:pPr>
        <w:pStyle w:val="22"/>
        <w:jc w:val="center"/>
        <w:rPr>
          <w:rFonts w:ascii="Times New Roman" w:hAnsi="Times New Roman" w:eastAsia="宋体"/>
          <w:snapToGrid w:val="0"/>
          <w:color w:val="auto"/>
          <w:sz w:val="36"/>
          <w:szCs w:val="36"/>
          <w:highlight w:val="none"/>
        </w:rPr>
        <w:sectPr>
          <w:footerReference r:id="rId8" w:type="default"/>
          <w:pgSz w:w="11906" w:h="16838"/>
          <w:pgMar w:top="1417" w:right="1361" w:bottom="1361" w:left="1361" w:header="851" w:footer="851" w:gutter="0"/>
          <w:pgBorders>
            <w:top w:val="none" w:sz="0" w:space="0"/>
            <w:left w:val="none" w:sz="0" w:space="0"/>
            <w:bottom w:val="none" w:sz="0" w:space="0"/>
            <w:right w:val="none" w:sz="0" w:space="0"/>
          </w:pgBorders>
          <w:pgNumType w:fmt="decimal"/>
          <w:cols w:space="720" w:num="1"/>
          <w:docGrid w:linePitch="312" w:charSpace="0"/>
        </w:sectPr>
      </w:pPr>
    </w:p>
    <w:p w14:paraId="13DF0475">
      <w:pPr>
        <w:pStyle w:val="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三、区域环境质量现状、环境保护目标及评价标准</w:t>
      </w:r>
    </w:p>
    <w:tbl>
      <w:tblPr>
        <w:tblStyle w:val="25"/>
        <w:tblW w:w="530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9321"/>
      </w:tblGrid>
      <w:tr w14:paraId="4D9A79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14:paraId="6BCA78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宋体"/>
                <w:color w:val="auto"/>
                <w:kern w:val="0"/>
                <w:szCs w:val="21"/>
                <w:highlight w:val="none"/>
              </w:rPr>
            </w:pPr>
            <w:r>
              <w:rPr>
                <w:rFonts w:hint="eastAsia" w:ascii="Times New Roman" w:hAnsi="Times New Roman" w:eastAsia="宋体" w:cs="宋体"/>
                <w:color w:val="auto"/>
                <w:kern w:val="0"/>
                <w:szCs w:val="21"/>
                <w:highlight w:val="none"/>
              </w:rPr>
              <w:t>区域环境质量现状</w:t>
            </w:r>
          </w:p>
        </w:tc>
        <w:tc>
          <w:tcPr>
            <w:tcW w:w="9321" w:type="dxa"/>
            <w:noWrap w:val="0"/>
            <w:vAlign w:val="center"/>
          </w:tcPr>
          <w:p w14:paraId="2A6E2C1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ascii="Times New Roman" w:hAnsi="Times New Roman" w:eastAsia="宋体"/>
                <w:b/>
                <w:bCs/>
                <w:color w:val="auto"/>
                <w:sz w:val="24"/>
                <w:szCs w:val="24"/>
                <w:highlight w:val="none"/>
              </w:rPr>
            </w:pPr>
            <w:r>
              <w:rPr>
                <w:rFonts w:hint="eastAsia" w:ascii="Times New Roman" w:hAnsi="Times New Roman" w:eastAsia="宋体"/>
                <w:b/>
                <w:bCs/>
                <w:color w:val="auto"/>
                <w:sz w:val="24"/>
                <w:szCs w:val="24"/>
                <w:highlight w:val="none"/>
                <w:lang w:val="en-US" w:eastAsia="zh-CN"/>
              </w:rPr>
              <w:t>3.1</w:t>
            </w:r>
            <w:r>
              <w:rPr>
                <w:rFonts w:ascii="Times New Roman" w:hAnsi="Times New Roman" w:eastAsia="宋体"/>
                <w:b/>
                <w:bCs/>
                <w:color w:val="auto"/>
                <w:sz w:val="24"/>
                <w:szCs w:val="24"/>
                <w:highlight w:val="none"/>
              </w:rPr>
              <w:t>环境空气质量现状</w:t>
            </w:r>
          </w:p>
          <w:p w14:paraId="1734D774">
            <w:pPr>
              <w:spacing w:line="360" w:lineRule="auto"/>
              <w:ind w:firstLine="480" w:firstLineChars="200"/>
              <w:rPr>
                <w:color w:val="auto"/>
                <w:sz w:val="24"/>
              </w:rPr>
            </w:pPr>
            <w:r>
              <w:rPr>
                <w:color w:val="auto"/>
                <w:sz w:val="24"/>
              </w:rPr>
              <w:t>根据《</w:t>
            </w:r>
            <w:r>
              <w:rPr>
                <w:rFonts w:hint="eastAsia"/>
                <w:color w:val="auto"/>
                <w:sz w:val="24"/>
              </w:rPr>
              <w:t>建设项目环境影响报告表编制技术指南（污染影响类）（试行）</w:t>
            </w:r>
            <w:r>
              <w:rPr>
                <w:color w:val="auto"/>
                <w:sz w:val="24"/>
              </w:rPr>
              <w:t>》（</w:t>
            </w:r>
            <w:r>
              <w:rPr>
                <w:rFonts w:hint="eastAsia"/>
                <w:color w:val="auto"/>
                <w:sz w:val="24"/>
              </w:rPr>
              <w:t>2021年版</w:t>
            </w:r>
            <w:r>
              <w:rPr>
                <w:color w:val="auto"/>
                <w:sz w:val="24"/>
              </w:rPr>
              <w:t>）</w:t>
            </w:r>
            <w:r>
              <w:rPr>
                <w:rFonts w:hint="eastAsia"/>
                <w:color w:val="auto"/>
                <w:sz w:val="24"/>
              </w:rPr>
              <w:t>中“常规污染物引用与建设项目近的有效数据，包括近3年的规划环境影响评价的监测数据，国家、地方环境空气质量监测网数据或生态环境主管部门公开发布的质量数据等”要求，</w:t>
            </w:r>
            <w:r>
              <w:rPr>
                <w:color w:val="auto"/>
                <w:sz w:val="24"/>
              </w:rPr>
              <w:t>根据202</w:t>
            </w:r>
            <w:r>
              <w:rPr>
                <w:rFonts w:hint="eastAsia"/>
                <w:color w:val="auto"/>
                <w:sz w:val="24"/>
                <w:lang w:val="en-US" w:eastAsia="zh-CN"/>
              </w:rPr>
              <w:t>6</w:t>
            </w:r>
            <w:r>
              <w:rPr>
                <w:color w:val="auto"/>
                <w:sz w:val="24"/>
              </w:rPr>
              <w:t>年</w:t>
            </w:r>
            <w:r>
              <w:rPr>
                <w:rFonts w:hint="eastAsia"/>
                <w:color w:val="auto"/>
                <w:sz w:val="24"/>
                <w:lang w:val="en-US" w:eastAsia="zh-CN"/>
              </w:rPr>
              <w:t>2</w:t>
            </w:r>
            <w:r>
              <w:rPr>
                <w:color w:val="auto"/>
                <w:sz w:val="24"/>
              </w:rPr>
              <w:t>月</w:t>
            </w:r>
            <w:r>
              <w:rPr>
                <w:rFonts w:hint="eastAsia"/>
                <w:color w:val="auto"/>
                <w:sz w:val="24"/>
                <w:lang w:val="en-US" w:eastAsia="zh-CN"/>
              </w:rPr>
              <w:t>3</w:t>
            </w:r>
            <w:r>
              <w:rPr>
                <w:color w:val="auto"/>
                <w:sz w:val="24"/>
              </w:rPr>
              <w:t>日陕西省生态环境厅办公室发布的《202</w:t>
            </w:r>
            <w:r>
              <w:rPr>
                <w:rFonts w:hint="eastAsia"/>
                <w:color w:val="auto"/>
                <w:sz w:val="24"/>
                <w:lang w:val="en-US" w:eastAsia="zh-CN"/>
              </w:rPr>
              <w:t>5</w:t>
            </w:r>
            <w:r>
              <w:rPr>
                <w:color w:val="auto"/>
                <w:sz w:val="24"/>
              </w:rPr>
              <w:t>年12月及1~12月全省环境质量状况</w:t>
            </w:r>
            <w:r>
              <w:rPr>
                <w:rFonts w:hint="eastAsia"/>
                <w:color w:val="auto"/>
                <w:sz w:val="24"/>
              </w:rPr>
              <w:t>环保快报</w:t>
            </w:r>
            <w:r>
              <w:rPr>
                <w:rFonts w:hint="eastAsia"/>
                <w:color w:val="auto"/>
                <w:sz w:val="24"/>
                <w:lang w:eastAsia="zh-CN"/>
              </w:rPr>
              <w:t>》</w:t>
            </w:r>
            <w:r>
              <w:rPr>
                <w:rFonts w:hint="eastAsia"/>
                <w:color w:val="auto"/>
                <w:sz w:val="24"/>
              </w:rPr>
              <w:t>“</w:t>
            </w:r>
            <w:r>
              <w:rPr>
                <w:color w:val="auto"/>
                <w:sz w:val="24"/>
              </w:rPr>
              <w:t>附表</w:t>
            </w:r>
            <w:r>
              <w:rPr>
                <w:rFonts w:hint="eastAsia"/>
                <w:color w:val="auto"/>
                <w:sz w:val="24"/>
                <w:lang w:val="en-US" w:eastAsia="zh-CN"/>
              </w:rPr>
              <w:t>6</w:t>
            </w:r>
            <w:r>
              <w:rPr>
                <w:color w:val="auto"/>
                <w:sz w:val="24"/>
              </w:rPr>
              <w:t>—202</w:t>
            </w:r>
            <w:r>
              <w:rPr>
                <w:rFonts w:hint="eastAsia"/>
                <w:color w:val="auto"/>
                <w:sz w:val="24"/>
                <w:lang w:val="en-US" w:eastAsia="zh-CN"/>
              </w:rPr>
              <w:t>5</w:t>
            </w:r>
            <w:r>
              <w:rPr>
                <w:color w:val="auto"/>
                <w:sz w:val="24"/>
              </w:rPr>
              <w:t>年1~12月</w:t>
            </w:r>
            <w:r>
              <w:rPr>
                <w:rFonts w:hint="eastAsia"/>
                <w:color w:val="auto"/>
                <w:sz w:val="24"/>
                <w:lang w:eastAsia="zh-CN"/>
              </w:rPr>
              <w:t>陕南地区</w:t>
            </w:r>
            <w:r>
              <w:rPr>
                <w:rFonts w:hint="eastAsia"/>
                <w:color w:val="auto"/>
                <w:sz w:val="24"/>
                <w:lang w:val="en-US" w:eastAsia="zh-CN"/>
              </w:rPr>
              <w:t>32</w:t>
            </w:r>
            <w:r>
              <w:rPr>
                <w:color w:val="auto"/>
                <w:sz w:val="24"/>
              </w:rPr>
              <w:t>个县（区）空气质量状况统计表</w:t>
            </w:r>
            <w:r>
              <w:rPr>
                <w:rFonts w:hint="eastAsia"/>
                <w:color w:val="auto"/>
                <w:sz w:val="24"/>
              </w:rPr>
              <w:t>”</w:t>
            </w:r>
            <w:r>
              <w:rPr>
                <w:color w:val="auto"/>
                <w:sz w:val="24"/>
              </w:rPr>
              <w:t>中</w:t>
            </w:r>
            <w:r>
              <w:rPr>
                <w:rFonts w:hint="eastAsia"/>
                <w:color w:val="auto"/>
                <w:sz w:val="24"/>
                <w:lang w:eastAsia="zh-CN"/>
              </w:rPr>
              <w:t>汉中市佛坪县</w:t>
            </w:r>
            <w:r>
              <w:rPr>
                <w:color w:val="auto"/>
                <w:sz w:val="24"/>
              </w:rPr>
              <w:t>的统计数据进行评价，</w:t>
            </w:r>
            <w:r>
              <w:rPr>
                <w:rFonts w:hint="eastAsia"/>
                <w:color w:val="auto"/>
                <w:sz w:val="24"/>
              </w:rPr>
              <w:t>本项目所在</w:t>
            </w:r>
            <w:r>
              <w:rPr>
                <w:color w:val="auto"/>
                <w:sz w:val="24"/>
              </w:rPr>
              <w:t>区域空气</w:t>
            </w:r>
            <w:r>
              <w:rPr>
                <w:rFonts w:hint="eastAsia"/>
                <w:color w:val="auto"/>
                <w:sz w:val="24"/>
              </w:rPr>
              <w:t>环境</w:t>
            </w:r>
            <w:r>
              <w:rPr>
                <w:color w:val="auto"/>
                <w:sz w:val="24"/>
              </w:rPr>
              <w:t>质量现状</w:t>
            </w:r>
            <w:r>
              <w:rPr>
                <w:rFonts w:hint="eastAsia"/>
                <w:color w:val="auto"/>
                <w:sz w:val="24"/>
              </w:rPr>
              <w:t>统计结果</w:t>
            </w:r>
            <w:r>
              <w:rPr>
                <w:color w:val="auto"/>
                <w:sz w:val="24"/>
              </w:rPr>
              <w:t>见下表</w:t>
            </w:r>
            <w:r>
              <w:rPr>
                <w:rFonts w:hint="eastAsia"/>
                <w:color w:val="auto"/>
                <w:sz w:val="24"/>
              </w:rPr>
              <w:t>：</w:t>
            </w:r>
          </w:p>
          <w:p w14:paraId="5AB5111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b/>
                <w:color w:val="auto"/>
                <w:sz w:val="21"/>
                <w:szCs w:val="21"/>
                <w:lang w:val="en-US" w:eastAsia="zh-CN"/>
              </w:rPr>
            </w:pPr>
            <w:r>
              <w:rPr>
                <w:rFonts w:hint="eastAsia" w:ascii="Times New Roman" w:hAnsi="Times New Roman" w:eastAsia="宋体" w:cs="Times New Roman"/>
                <w:b/>
                <w:color w:val="auto"/>
                <w:sz w:val="21"/>
                <w:szCs w:val="21"/>
                <w:lang w:val="en-US" w:eastAsia="zh-CN"/>
              </w:rPr>
              <w:t>表3-1 202</w:t>
            </w:r>
            <w:r>
              <w:rPr>
                <w:rFonts w:hint="eastAsia" w:cs="Times New Roman"/>
                <w:b/>
                <w:color w:val="auto"/>
                <w:sz w:val="21"/>
                <w:szCs w:val="21"/>
                <w:lang w:val="en-US" w:eastAsia="zh-CN"/>
              </w:rPr>
              <w:t>5</w:t>
            </w:r>
            <w:r>
              <w:rPr>
                <w:rFonts w:hint="eastAsia" w:ascii="Times New Roman" w:hAnsi="Times New Roman" w:eastAsia="宋体" w:cs="Times New Roman"/>
                <w:b/>
                <w:color w:val="auto"/>
                <w:sz w:val="21"/>
                <w:szCs w:val="21"/>
                <w:lang w:val="en-US" w:eastAsia="zh-CN"/>
              </w:rPr>
              <w:t>年汉中市佛坪县空气质量状况统计数据一览表</w:t>
            </w:r>
          </w:p>
          <w:tbl>
            <w:tblPr>
              <w:tblStyle w:val="25"/>
              <w:tblW w:w="499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938"/>
              <w:gridCol w:w="2587"/>
              <w:gridCol w:w="1125"/>
              <w:gridCol w:w="1986"/>
              <w:gridCol w:w="1255"/>
              <w:gridCol w:w="1179"/>
            </w:tblGrid>
            <w:tr w14:paraId="0E0B7E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blHeader/>
                <w:jc w:val="center"/>
              </w:trPr>
              <w:tc>
                <w:tcPr>
                  <w:tcW w:w="517" w:type="pct"/>
                  <w:tcBorders>
                    <w:tl2br w:val="nil"/>
                    <w:tr2bl w:val="nil"/>
                  </w:tcBorders>
                  <w:vAlign w:val="center"/>
                </w:tcPr>
                <w:p w14:paraId="786EE9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b/>
                      <w:bCs/>
                      <w:color w:val="auto"/>
                      <w:sz w:val="21"/>
                      <w:szCs w:val="21"/>
                    </w:rPr>
                    <w:t>污染物</w:t>
                  </w:r>
                </w:p>
              </w:tc>
              <w:tc>
                <w:tcPr>
                  <w:tcW w:w="1426" w:type="pct"/>
                  <w:tcBorders>
                    <w:tl2br w:val="nil"/>
                    <w:tr2bl w:val="nil"/>
                  </w:tcBorders>
                  <w:vAlign w:val="center"/>
                </w:tcPr>
                <w:p w14:paraId="5C5741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b/>
                      <w:bCs/>
                      <w:color w:val="auto"/>
                      <w:sz w:val="21"/>
                      <w:szCs w:val="21"/>
                    </w:rPr>
                    <w:t>年评价指标</w:t>
                  </w:r>
                </w:p>
              </w:tc>
              <w:tc>
                <w:tcPr>
                  <w:tcW w:w="620" w:type="pct"/>
                  <w:tcBorders>
                    <w:tl2br w:val="nil"/>
                    <w:tr2bl w:val="nil"/>
                  </w:tcBorders>
                  <w:vAlign w:val="center"/>
                </w:tcPr>
                <w:p w14:paraId="566B1A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b/>
                      <w:bCs/>
                      <w:color w:val="auto"/>
                      <w:sz w:val="21"/>
                      <w:szCs w:val="21"/>
                    </w:rPr>
                    <w:t>现状浓度</w:t>
                  </w:r>
                </w:p>
              </w:tc>
              <w:tc>
                <w:tcPr>
                  <w:tcW w:w="1095" w:type="pct"/>
                  <w:tcBorders>
                    <w:tl2br w:val="nil"/>
                    <w:tr2bl w:val="nil"/>
                  </w:tcBorders>
                  <w:vAlign w:val="center"/>
                </w:tcPr>
                <w:p w14:paraId="13E34C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lang w:eastAsia="zh-CN"/>
                    </w:rPr>
                    <w:t>过渡阶段浓度限值（二级）</w:t>
                  </w:r>
                </w:p>
              </w:tc>
              <w:tc>
                <w:tcPr>
                  <w:tcW w:w="692" w:type="pct"/>
                  <w:tcBorders>
                    <w:tl2br w:val="nil"/>
                    <w:tr2bl w:val="nil"/>
                  </w:tcBorders>
                  <w:vAlign w:val="center"/>
                </w:tcPr>
                <w:p w14:paraId="40953C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b/>
                      <w:bCs/>
                      <w:color w:val="auto"/>
                      <w:sz w:val="21"/>
                      <w:szCs w:val="21"/>
                    </w:rPr>
                    <w:t>占标率/%</w:t>
                  </w:r>
                </w:p>
              </w:tc>
              <w:tc>
                <w:tcPr>
                  <w:tcW w:w="648" w:type="pct"/>
                  <w:tcBorders>
                    <w:tl2br w:val="nil"/>
                    <w:tr2bl w:val="nil"/>
                  </w:tcBorders>
                  <w:vAlign w:val="center"/>
                </w:tcPr>
                <w:p w14:paraId="247404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b/>
                      <w:bCs/>
                      <w:color w:val="auto"/>
                      <w:sz w:val="21"/>
                      <w:szCs w:val="21"/>
                    </w:rPr>
                    <w:t>达标情况</w:t>
                  </w:r>
                </w:p>
              </w:tc>
            </w:tr>
            <w:tr w14:paraId="074650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17" w:type="pct"/>
                  <w:tcBorders>
                    <w:tl2br w:val="nil"/>
                    <w:tr2bl w:val="nil"/>
                  </w:tcBorders>
                  <w:vAlign w:val="center"/>
                </w:tcPr>
                <w:p w14:paraId="4E11C8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PM</w:t>
                  </w:r>
                  <w:r>
                    <w:rPr>
                      <w:color w:val="auto"/>
                      <w:sz w:val="21"/>
                      <w:szCs w:val="21"/>
                      <w:vertAlign w:val="subscript"/>
                    </w:rPr>
                    <w:t>10</w:t>
                  </w:r>
                </w:p>
              </w:tc>
              <w:tc>
                <w:tcPr>
                  <w:tcW w:w="1426" w:type="pct"/>
                  <w:tcBorders>
                    <w:tl2br w:val="nil"/>
                    <w:tr2bl w:val="nil"/>
                  </w:tcBorders>
                  <w:vAlign w:val="center"/>
                </w:tcPr>
                <w:p w14:paraId="1E8FF0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年平均质量浓度（μg/m</w:t>
                  </w:r>
                  <w:r>
                    <w:rPr>
                      <w:color w:val="auto"/>
                      <w:sz w:val="21"/>
                      <w:szCs w:val="21"/>
                      <w:vertAlign w:val="superscript"/>
                    </w:rPr>
                    <w:t>3</w:t>
                  </w:r>
                  <w:r>
                    <w:rPr>
                      <w:color w:val="auto"/>
                      <w:sz w:val="21"/>
                      <w:szCs w:val="21"/>
                    </w:rPr>
                    <w:t>）</w:t>
                  </w:r>
                </w:p>
              </w:tc>
              <w:tc>
                <w:tcPr>
                  <w:tcW w:w="620" w:type="pct"/>
                  <w:tcBorders>
                    <w:tl2br w:val="nil"/>
                    <w:tr2bl w:val="nil"/>
                  </w:tcBorders>
                  <w:vAlign w:val="center"/>
                </w:tcPr>
                <w:p w14:paraId="6EA23E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30</w:t>
                  </w:r>
                </w:p>
              </w:tc>
              <w:tc>
                <w:tcPr>
                  <w:tcW w:w="1095" w:type="pct"/>
                  <w:tcBorders>
                    <w:tl2br w:val="nil"/>
                    <w:tr2bl w:val="nil"/>
                  </w:tcBorders>
                  <w:vAlign w:val="center"/>
                </w:tcPr>
                <w:p w14:paraId="4BFE18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60</w:t>
                  </w:r>
                </w:p>
              </w:tc>
              <w:tc>
                <w:tcPr>
                  <w:tcW w:w="692" w:type="pct"/>
                  <w:tcBorders>
                    <w:tl2br w:val="nil"/>
                    <w:tr2bl w:val="nil"/>
                  </w:tcBorders>
                  <w:vAlign w:val="center"/>
                </w:tcPr>
                <w:p w14:paraId="3B2518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50</w:t>
                  </w:r>
                </w:p>
              </w:tc>
              <w:tc>
                <w:tcPr>
                  <w:tcW w:w="648" w:type="pct"/>
                  <w:tcBorders>
                    <w:tl2br w:val="nil"/>
                    <w:tr2bl w:val="nil"/>
                  </w:tcBorders>
                  <w:vAlign w:val="center"/>
                </w:tcPr>
                <w:p w14:paraId="0F91A0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达标</w:t>
                  </w:r>
                </w:p>
              </w:tc>
            </w:tr>
            <w:tr w14:paraId="0C9FC1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17" w:type="pct"/>
                  <w:tcBorders>
                    <w:tl2br w:val="nil"/>
                    <w:tr2bl w:val="nil"/>
                  </w:tcBorders>
                  <w:vAlign w:val="center"/>
                </w:tcPr>
                <w:p w14:paraId="6C19AF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PM</w:t>
                  </w:r>
                  <w:r>
                    <w:rPr>
                      <w:color w:val="auto"/>
                      <w:sz w:val="21"/>
                      <w:szCs w:val="21"/>
                      <w:vertAlign w:val="subscript"/>
                    </w:rPr>
                    <w:t>2.5</w:t>
                  </w:r>
                </w:p>
              </w:tc>
              <w:tc>
                <w:tcPr>
                  <w:tcW w:w="1426" w:type="pct"/>
                  <w:tcBorders>
                    <w:tl2br w:val="nil"/>
                    <w:tr2bl w:val="nil"/>
                  </w:tcBorders>
                  <w:vAlign w:val="center"/>
                </w:tcPr>
                <w:p w14:paraId="38B3AB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年平均质量浓度（μg/m</w:t>
                  </w:r>
                  <w:r>
                    <w:rPr>
                      <w:color w:val="auto"/>
                      <w:sz w:val="21"/>
                      <w:szCs w:val="21"/>
                      <w:vertAlign w:val="superscript"/>
                    </w:rPr>
                    <w:t>3</w:t>
                  </w:r>
                  <w:r>
                    <w:rPr>
                      <w:color w:val="auto"/>
                      <w:sz w:val="21"/>
                      <w:szCs w:val="21"/>
                    </w:rPr>
                    <w:t>）</w:t>
                  </w:r>
                </w:p>
              </w:tc>
              <w:tc>
                <w:tcPr>
                  <w:tcW w:w="620" w:type="pct"/>
                  <w:tcBorders>
                    <w:tl2br w:val="nil"/>
                    <w:tr2bl w:val="nil"/>
                  </w:tcBorders>
                  <w:vAlign w:val="center"/>
                </w:tcPr>
                <w:p w14:paraId="1E60CB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15</w:t>
                  </w:r>
                </w:p>
              </w:tc>
              <w:tc>
                <w:tcPr>
                  <w:tcW w:w="1095" w:type="pct"/>
                  <w:tcBorders>
                    <w:tl2br w:val="nil"/>
                    <w:tr2bl w:val="nil"/>
                  </w:tcBorders>
                  <w:vAlign w:val="center"/>
                </w:tcPr>
                <w:p w14:paraId="4637B9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30</w:t>
                  </w:r>
                </w:p>
              </w:tc>
              <w:tc>
                <w:tcPr>
                  <w:tcW w:w="692" w:type="pct"/>
                  <w:tcBorders>
                    <w:tl2br w:val="nil"/>
                    <w:tr2bl w:val="nil"/>
                  </w:tcBorders>
                  <w:vAlign w:val="center"/>
                </w:tcPr>
                <w:p w14:paraId="1EA6E2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50</w:t>
                  </w:r>
                </w:p>
              </w:tc>
              <w:tc>
                <w:tcPr>
                  <w:tcW w:w="648" w:type="pct"/>
                  <w:tcBorders>
                    <w:tl2br w:val="nil"/>
                    <w:tr2bl w:val="nil"/>
                  </w:tcBorders>
                  <w:vAlign w:val="center"/>
                </w:tcPr>
                <w:p w14:paraId="29A517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达标</w:t>
                  </w:r>
                </w:p>
              </w:tc>
            </w:tr>
            <w:tr w14:paraId="6EE4D1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17" w:type="pct"/>
                  <w:tcBorders>
                    <w:tl2br w:val="nil"/>
                    <w:tr2bl w:val="nil"/>
                  </w:tcBorders>
                  <w:vAlign w:val="center"/>
                </w:tcPr>
                <w:p w14:paraId="19B624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SO</w:t>
                  </w:r>
                  <w:r>
                    <w:rPr>
                      <w:color w:val="auto"/>
                      <w:sz w:val="21"/>
                      <w:szCs w:val="21"/>
                      <w:vertAlign w:val="subscript"/>
                    </w:rPr>
                    <w:t>2</w:t>
                  </w:r>
                </w:p>
              </w:tc>
              <w:tc>
                <w:tcPr>
                  <w:tcW w:w="1426" w:type="pct"/>
                  <w:tcBorders>
                    <w:tl2br w:val="nil"/>
                    <w:tr2bl w:val="nil"/>
                  </w:tcBorders>
                  <w:vAlign w:val="center"/>
                </w:tcPr>
                <w:p w14:paraId="4BFE18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年平均质量浓度（μg/m</w:t>
                  </w:r>
                  <w:r>
                    <w:rPr>
                      <w:color w:val="auto"/>
                      <w:sz w:val="21"/>
                      <w:szCs w:val="21"/>
                      <w:vertAlign w:val="superscript"/>
                    </w:rPr>
                    <w:t>3</w:t>
                  </w:r>
                  <w:r>
                    <w:rPr>
                      <w:color w:val="auto"/>
                      <w:sz w:val="21"/>
                      <w:szCs w:val="21"/>
                    </w:rPr>
                    <w:t>）</w:t>
                  </w:r>
                </w:p>
              </w:tc>
              <w:tc>
                <w:tcPr>
                  <w:tcW w:w="620" w:type="pct"/>
                  <w:tcBorders>
                    <w:tl2br w:val="nil"/>
                    <w:tr2bl w:val="nil"/>
                  </w:tcBorders>
                  <w:vAlign w:val="center"/>
                </w:tcPr>
                <w:p w14:paraId="69948D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lang w:val="en-US" w:eastAsia="zh-CN"/>
                    </w:rPr>
                  </w:pPr>
                  <w:r>
                    <w:rPr>
                      <w:rFonts w:hint="eastAsia"/>
                      <w:color w:val="auto"/>
                      <w:sz w:val="21"/>
                      <w:szCs w:val="21"/>
                      <w:lang w:val="en-US" w:eastAsia="zh-CN"/>
                    </w:rPr>
                    <w:t>7</w:t>
                  </w:r>
                </w:p>
              </w:tc>
              <w:tc>
                <w:tcPr>
                  <w:tcW w:w="1095" w:type="pct"/>
                  <w:tcBorders>
                    <w:tl2br w:val="nil"/>
                    <w:tr2bl w:val="nil"/>
                  </w:tcBorders>
                  <w:vAlign w:val="center"/>
                </w:tcPr>
                <w:p w14:paraId="098C42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60</w:t>
                  </w:r>
                </w:p>
              </w:tc>
              <w:tc>
                <w:tcPr>
                  <w:tcW w:w="692" w:type="pct"/>
                  <w:tcBorders>
                    <w:tl2br w:val="nil"/>
                    <w:tr2bl w:val="nil"/>
                  </w:tcBorders>
                  <w:vAlign w:val="center"/>
                </w:tcPr>
                <w:p w14:paraId="0B467F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11.67</w:t>
                  </w:r>
                </w:p>
              </w:tc>
              <w:tc>
                <w:tcPr>
                  <w:tcW w:w="648" w:type="pct"/>
                  <w:tcBorders>
                    <w:tl2br w:val="nil"/>
                    <w:tr2bl w:val="nil"/>
                  </w:tcBorders>
                  <w:vAlign w:val="center"/>
                </w:tcPr>
                <w:p w14:paraId="500999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达标</w:t>
                  </w:r>
                </w:p>
              </w:tc>
            </w:tr>
            <w:tr w14:paraId="0232E9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17" w:type="pct"/>
                  <w:tcBorders>
                    <w:tl2br w:val="nil"/>
                    <w:tr2bl w:val="nil"/>
                  </w:tcBorders>
                  <w:vAlign w:val="center"/>
                </w:tcPr>
                <w:p w14:paraId="1A4BEF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NO</w:t>
                  </w:r>
                  <w:r>
                    <w:rPr>
                      <w:color w:val="auto"/>
                      <w:sz w:val="21"/>
                      <w:szCs w:val="21"/>
                      <w:vertAlign w:val="subscript"/>
                    </w:rPr>
                    <w:t>2</w:t>
                  </w:r>
                </w:p>
              </w:tc>
              <w:tc>
                <w:tcPr>
                  <w:tcW w:w="1426" w:type="pct"/>
                  <w:tcBorders>
                    <w:tl2br w:val="nil"/>
                    <w:tr2bl w:val="nil"/>
                  </w:tcBorders>
                  <w:vAlign w:val="center"/>
                </w:tcPr>
                <w:p w14:paraId="6BF3FA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年平均质量浓度（μg/m</w:t>
                  </w:r>
                  <w:r>
                    <w:rPr>
                      <w:color w:val="auto"/>
                      <w:sz w:val="21"/>
                      <w:szCs w:val="21"/>
                      <w:vertAlign w:val="superscript"/>
                    </w:rPr>
                    <w:t>3</w:t>
                  </w:r>
                  <w:r>
                    <w:rPr>
                      <w:color w:val="auto"/>
                      <w:sz w:val="21"/>
                      <w:szCs w:val="21"/>
                    </w:rPr>
                    <w:t>）</w:t>
                  </w:r>
                </w:p>
              </w:tc>
              <w:tc>
                <w:tcPr>
                  <w:tcW w:w="620" w:type="pct"/>
                  <w:tcBorders>
                    <w:tl2br w:val="nil"/>
                    <w:tr2bl w:val="nil"/>
                  </w:tcBorders>
                  <w:vAlign w:val="center"/>
                </w:tcPr>
                <w:p w14:paraId="674C8F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lang w:val="en-US" w:eastAsia="zh-CN"/>
                    </w:rPr>
                  </w:pPr>
                  <w:r>
                    <w:rPr>
                      <w:rFonts w:hint="eastAsia"/>
                      <w:color w:val="auto"/>
                      <w:sz w:val="21"/>
                      <w:szCs w:val="21"/>
                      <w:lang w:val="en-US" w:eastAsia="zh-CN"/>
                    </w:rPr>
                    <w:t>8</w:t>
                  </w:r>
                </w:p>
              </w:tc>
              <w:tc>
                <w:tcPr>
                  <w:tcW w:w="1095" w:type="pct"/>
                  <w:tcBorders>
                    <w:tl2br w:val="nil"/>
                    <w:tr2bl w:val="nil"/>
                  </w:tcBorders>
                  <w:vAlign w:val="center"/>
                </w:tcPr>
                <w:p w14:paraId="0F0891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40</w:t>
                  </w:r>
                </w:p>
              </w:tc>
              <w:tc>
                <w:tcPr>
                  <w:tcW w:w="692" w:type="pct"/>
                  <w:tcBorders>
                    <w:tl2br w:val="nil"/>
                    <w:tr2bl w:val="nil"/>
                  </w:tcBorders>
                  <w:vAlign w:val="center"/>
                </w:tcPr>
                <w:p w14:paraId="1F3B26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20</w:t>
                  </w:r>
                </w:p>
              </w:tc>
              <w:tc>
                <w:tcPr>
                  <w:tcW w:w="648" w:type="pct"/>
                  <w:tcBorders>
                    <w:tl2br w:val="nil"/>
                    <w:tr2bl w:val="nil"/>
                  </w:tcBorders>
                  <w:vAlign w:val="center"/>
                </w:tcPr>
                <w:p w14:paraId="1B1B25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达标</w:t>
                  </w:r>
                </w:p>
              </w:tc>
            </w:tr>
            <w:tr w14:paraId="2FA298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17" w:type="pct"/>
                  <w:tcBorders>
                    <w:tl2br w:val="nil"/>
                    <w:tr2bl w:val="nil"/>
                  </w:tcBorders>
                  <w:vAlign w:val="center"/>
                </w:tcPr>
                <w:p w14:paraId="1B7CAB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CO</w:t>
                  </w:r>
                </w:p>
              </w:tc>
              <w:tc>
                <w:tcPr>
                  <w:tcW w:w="1426" w:type="pct"/>
                  <w:tcBorders>
                    <w:tl2br w:val="nil"/>
                    <w:tr2bl w:val="nil"/>
                  </w:tcBorders>
                  <w:vAlign w:val="center"/>
                </w:tcPr>
                <w:p w14:paraId="15705E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24小时平均第95百分位数浓度（mg/m</w:t>
                  </w:r>
                  <w:r>
                    <w:rPr>
                      <w:color w:val="auto"/>
                      <w:sz w:val="21"/>
                      <w:szCs w:val="21"/>
                      <w:vertAlign w:val="superscript"/>
                    </w:rPr>
                    <w:t>3</w:t>
                  </w:r>
                  <w:r>
                    <w:rPr>
                      <w:color w:val="auto"/>
                      <w:sz w:val="21"/>
                      <w:szCs w:val="21"/>
                    </w:rPr>
                    <w:t>）</w:t>
                  </w:r>
                </w:p>
              </w:tc>
              <w:tc>
                <w:tcPr>
                  <w:tcW w:w="620" w:type="pct"/>
                  <w:tcBorders>
                    <w:tl2br w:val="nil"/>
                    <w:tr2bl w:val="nil"/>
                  </w:tcBorders>
                  <w:vAlign w:val="center"/>
                </w:tcPr>
                <w:p w14:paraId="5CACB6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0.8</w:t>
                  </w:r>
                </w:p>
              </w:tc>
              <w:tc>
                <w:tcPr>
                  <w:tcW w:w="1095" w:type="pct"/>
                  <w:tcBorders>
                    <w:tl2br w:val="nil"/>
                    <w:tr2bl w:val="nil"/>
                  </w:tcBorders>
                  <w:vAlign w:val="center"/>
                </w:tcPr>
                <w:p w14:paraId="649A65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4</w:t>
                  </w:r>
                </w:p>
              </w:tc>
              <w:tc>
                <w:tcPr>
                  <w:tcW w:w="692" w:type="pct"/>
                  <w:tcBorders>
                    <w:tl2br w:val="nil"/>
                    <w:tr2bl w:val="nil"/>
                  </w:tcBorders>
                  <w:vAlign w:val="center"/>
                </w:tcPr>
                <w:p w14:paraId="76895C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20</w:t>
                  </w:r>
                </w:p>
              </w:tc>
              <w:tc>
                <w:tcPr>
                  <w:tcW w:w="648" w:type="pct"/>
                  <w:tcBorders>
                    <w:tl2br w:val="nil"/>
                    <w:tr2bl w:val="nil"/>
                  </w:tcBorders>
                  <w:vAlign w:val="center"/>
                </w:tcPr>
                <w:p w14:paraId="3AAE3F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达标</w:t>
                  </w:r>
                </w:p>
              </w:tc>
            </w:tr>
            <w:tr w14:paraId="353901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17" w:type="pct"/>
                  <w:tcBorders>
                    <w:tl2br w:val="nil"/>
                    <w:tr2bl w:val="nil"/>
                  </w:tcBorders>
                  <w:vAlign w:val="center"/>
                </w:tcPr>
                <w:p w14:paraId="2CFCA2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O</w:t>
                  </w:r>
                  <w:r>
                    <w:rPr>
                      <w:color w:val="auto"/>
                      <w:sz w:val="21"/>
                      <w:szCs w:val="21"/>
                      <w:vertAlign w:val="subscript"/>
                    </w:rPr>
                    <w:t>3</w:t>
                  </w:r>
                </w:p>
              </w:tc>
              <w:tc>
                <w:tcPr>
                  <w:tcW w:w="1426" w:type="pct"/>
                  <w:tcBorders>
                    <w:tl2br w:val="nil"/>
                    <w:tr2bl w:val="nil"/>
                  </w:tcBorders>
                  <w:vAlign w:val="center"/>
                </w:tcPr>
                <w:p w14:paraId="683D47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日最大8h滑动平均值的第90百分位浓度（μg/m</w:t>
                  </w:r>
                  <w:r>
                    <w:rPr>
                      <w:color w:val="auto"/>
                      <w:sz w:val="21"/>
                      <w:szCs w:val="21"/>
                      <w:vertAlign w:val="superscript"/>
                    </w:rPr>
                    <w:t>3</w:t>
                  </w:r>
                  <w:r>
                    <w:rPr>
                      <w:color w:val="auto"/>
                      <w:sz w:val="21"/>
                      <w:szCs w:val="21"/>
                    </w:rPr>
                    <w:t>）</w:t>
                  </w:r>
                </w:p>
              </w:tc>
              <w:tc>
                <w:tcPr>
                  <w:tcW w:w="620" w:type="pct"/>
                  <w:tcBorders>
                    <w:tl2br w:val="nil"/>
                    <w:tr2bl w:val="nil"/>
                  </w:tcBorders>
                  <w:vAlign w:val="center"/>
                </w:tcPr>
                <w:p w14:paraId="3048C5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107</w:t>
                  </w:r>
                </w:p>
              </w:tc>
              <w:tc>
                <w:tcPr>
                  <w:tcW w:w="1095" w:type="pct"/>
                  <w:tcBorders>
                    <w:tl2br w:val="nil"/>
                    <w:tr2bl w:val="nil"/>
                  </w:tcBorders>
                  <w:vAlign w:val="center"/>
                </w:tcPr>
                <w:p w14:paraId="411FA0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160</w:t>
                  </w:r>
                </w:p>
              </w:tc>
              <w:tc>
                <w:tcPr>
                  <w:tcW w:w="692" w:type="pct"/>
                  <w:tcBorders>
                    <w:tl2br w:val="nil"/>
                    <w:tr2bl w:val="nil"/>
                  </w:tcBorders>
                  <w:vAlign w:val="center"/>
                </w:tcPr>
                <w:p w14:paraId="63D4B3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66.88</w:t>
                  </w:r>
                </w:p>
              </w:tc>
              <w:tc>
                <w:tcPr>
                  <w:tcW w:w="648" w:type="pct"/>
                  <w:tcBorders>
                    <w:tl2br w:val="nil"/>
                    <w:tr2bl w:val="nil"/>
                  </w:tcBorders>
                  <w:vAlign w:val="center"/>
                </w:tcPr>
                <w:p w14:paraId="1C4EB8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达标</w:t>
                  </w:r>
                </w:p>
              </w:tc>
            </w:tr>
            <w:tr w14:paraId="647F9A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6"/>
                  <w:tcBorders>
                    <w:tl2br w:val="nil"/>
                    <w:tr2bl w:val="nil"/>
                  </w:tcBorders>
                  <w:vAlign w:val="center"/>
                </w:tcPr>
                <w:p w14:paraId="7ABCA1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eastAsia="宋体"/>
                      <w:color w:val="auto"/>
                      <w:sz w:val="21"/>
                      <w:szCs w:val="21"/>
                      <w:lang w:val="en-US" w:eastAsia="zh-CN"/>
                    </w:rPr>
                  </w:pPr>
                  <w:r>
                    <w:rPr>
                      <w:rFonts w:hint="eastAsia"/>
                      <w:b/>
                      <w:bCs/>
                      <w:color w:val="auto"/>
                      <w:sz w:val="21"/>
                      <w:szCs w:val="21"/>
                      <w:lang w:eastAsia="zh-CN"/>
                    </w:rPr>
                    <w:t>备注：自《环境空气质量标准》（</w:t>
                  </w:r>
                  <w:r>
                    <w:rPr>
                      <w:rFonts w:hint="eastAsia"/>
                      <w:b/>
                      <w:bCs/>
                      <w:color w:val="auto"/>
                      <w:sz w:val="21"/>
                      <w:szCs w:val="21"/>
                      <w:lang w:val="en-US" w:eastAsia="zh-CN"/>
                    </w:rPr>
                    <w:t>GB 3095-2026）标准实施之日起至2030年12月31日止，环境空气污染物基本项目（表1）实施过渡阶段浓度限值；自2031年1月1日起，在全国范围内实施基本项目（表1）浓度限值。</w:t>
                  </w:r>
                </w:p>
              </w:tc>
            </w:tr>
          </w:tbl>
          <w:p w14:paraId="1ADE8F7D">
            <w:pPr>
              <w:spacing w:line="360" w:lineRule="auto"/>
              <w:ind w:firstLine="480" w:firstLineChars="200"/>
              <w:rPr>
                <w:color w:val="auto"/>
                <w:sz w:val="24"/>
              </w:rPr>
            </w:pPr>
            <w:r>
              <w:rPr>
                <w:color w:val="auto"/>
                <w:sz w:val="24"/>
              </w:rPr>
              <w:t>根据</w:t>
            </w:r>
            <w:r>
              <w:rPr>
                <w:rFonts w:hint="eastAsia"/>
                <w:color w:val="auto"/>
                <w:sz w:val="24"/>
              </w:rPr>
              <w:t>上表可知</w:t>
            </w:r>
            <w:r>
              <w:rPr>
                <w:color w:val="auto"/>
                <w:sz w:val="24"/>
              </w:rPr>
              <w:t>，</w:t>
            </w:r>
            <w:r>
              <w:rPr>
                <w:rFonts w:hint="eastAsia"/>
                <w:color w:val="auto"/>
                <w:sz w:val="24"/>
                <w:lang w:eastAsia="zh-CN"/>
              </w:rPr>
              <w:t>汉中市佛坪县</w:t>
            </w:r>
            <w:r>
              <w:rPr>
                <w:color w:val="auto"/>
                <w:sz w:val="24"/>
              </w:rPr>
              <w:t>环境空气常规</w:t>
            </w:r>
            <w:r>
              <w:rPr>
                <w:rFonts w:hint="eastAsia"/>
                <w:color w:val="auto"/>
                <w:sz w:val="24"/>
              </w:rPr>
              <w:t>六项指标均</w:t>
            </w:r>
            <w:r>
              <w:rPr>
                <w:color w:val="auto"/>
                <w:sz w:val="24"/>
              </w:rPr>
              <w:t>达到《环境空气质量标准》（GB</w:t>
            </w:r>
            <w:r>
              <w:rPr>
                <w:rFonts w:hint="eastAsia"/>
                <w:color w:val="auto"/>
                <w:sz w:val="24"/>
                <w:lang w:val="en-US" w:eastAsia="zh-CN"/>
              </w:rPr>
              <w:t xml:space="preserve"> </w:t>
            </w:r>
            <w:r>
              <w:rPr>
                <w:color w:val="auto"/>
                <w:sz w:val="24"/>
              </w:rPr>
              <w:t>3095-20</w:t>
            </w:r>
            <w:r>
              <w:rPr>
                <w:rFonts w:hint="eastAsia"/>
                <w:color w:val="auto"/>
                <w:sz w:val="24"/>
                <w:lang w:val="en-US" w:eastAsia="zh-CN"/>
              </w:rPr>
              <w:t>26</w:t>
            </w:r>
            <w:r>
              <w:rPr>
                <w:color w:val="auto"/>
                <w:sz w:val="24"/>
              </w:rPr>
              <w:t>）</w:t>
            </w:r>
            <w:r>
              <w:rPr>
                <w:rFonts w:hint="eastAsia"/>
                <w:color w:val="auto"/>
                <w:sz w:val="24"/>
                <w:lang w:eastAsia="zh-CN"/>
              </w:rPr>
              <w:t>表</w:t>
            </w:r>
            <w:r>
              <w:rPr>
                <w:rFonts w:hint="eastAsia"/>
                <w:color w:val="auto"/>
                <w:sz w:val="24"/>
                <w:lang w:val="en-US" w:eastAsia="zh-CN"/>
              </w:rPr>
              <w:t>1</w:t>
            </w:r>
            <w:r>
              <w:rPr>
                <w:rFonts w:hint="eastAsia"/>
                <w:color w:val="auto"/>
                <w:sz w:val="24"/>
                <w:lang w:eastAsia="zh-CN"/>
              </w:rPr>
              <w:t>过渡阶段浓度限值</w:t>
            </w:r>
            <w:r>
              <w:rPr>
                <w:color w:val="auto"/>
                <w:sz w:val="24"/>
              </w:rPr>
              <w:t>二级标准</w:t>
            </w:r>
            <w:r>
              <w:rPr>
                <w:rFonts w:hint="eastAsia"/>
                <w:color w:val="auto"/>
                <w:sz w:val="24"/>
                <w:lang w:eastAsia="zh-CN"/>
              </w:rPr>
              <w:t>限值要求</w:t>
            </w:r>
            <w:r>
              <w:rPr>
                <w:color w:val="auto"/>
                <w:sz w:val="24"/>
              </w:rPr>
              <w:t>，故项目所在地区域环境空气质量达标。</w:t>
            </w:r>
            <w:bookmarkStart w:id="34" w:name="_Toc28956"/>
            <w:bookmarkEnd w:id="34"/>
          </w:p>
          <w:p w14:paraId="7B572116">
            <w:pPr>
              <w:pageBreakBefore w:val="0"/>
              <w:widowControl w:val="0"/>
              <w:kinsoku/>
              <w:wordWrap/>
              <w:overflowPunct/>
              <w:topLinePunct w:val="0"/>
              <w:bidi w:val="0"/>
              <w:adjustRightInd w:val="0"/>
              <w:snapToGrid w:val="0"/>
              <w:spacing w:line="360" w:lineRule="auto"/>
              <w:textAlignment w:val="auto"/>
              <w:rPr>
                <w:rFonts w:ascii="Times New Roman" w:hAnsi="Times New Roman" w:eastAsia="宋体"/>
                <w:b/>
                <w:bCs/>
                <w:color w:val="auto"/>
                <w:sz w:val="24"/>
                <w:szCs w:val="24"/>
                <w:highlight w:val="none"/>
              </w:rPr>
            </w:pPr>
            <w:r>
              <w:rPr>
                <w:rFonts w:hint="eastAsia" w:ascii="Times New Roman" w:hAnsi="Times New Roman" w:eastAsia="宋体"/>
                <w:b/>
                <w:bCs/>
                <w:color w:val="auto"/>
                <w:sz w:val="24"/>
                <w:szCs w:val="24"/>
                <w:highlight w:val="none"/>
                <w:lang w:val="en-US" w:eastAsia="zh-CN"/>
              </w:rPr>
              <w:t>3.2</w:t>
            </w:r>
            <w:r>
              <w:rPr>
                <w:rFonts w:ascii="Times New Roman" w:hAnsi="Times New Roman" w:eastAsia="宋体"/>
                <w:b/>
                <w:bCs/>
                <w:color w:val="auto"/>
                <w:sz w:val="24"/>
                <w:szCs w:val="24"/>
                <w:highlight w:val="none"/>
              </w:rPr>
              <w:t>声环境质量现状</w:t>
            </w:r>
          </w:p>
          <w:p w14:paraId="3373E60E">
            <w:pPr>
              <w:pageBreakBefore w:val="0"/>
              <w:widowControl w:val="0"/>
              <w:kinsoku/>
              <w:wordWrap/>
              <w:overflowPunct/>
              <w:topLinePunct w:val="0"/>
              <w:bidi w:val="0"/>
              <w:adjustRightInd w:val="0"/>
              <w:snapToGrid w:val="0"/>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w:t>
            </w:r>
            <w:r>
              <w:rPr>
                <w:rFonts w:hint="eastAsia" w:cs="Times New Roman"/>
                <w:color w:val="auto"/>
                <w:sz w:val="24"/>
                <w:szCs w:val="24"/>
                <w:lang w:val="en-US" w:eastAsia="zh-CN"/>
              </w:rPr>
              <w:t>现场</w:t>
            </w:r>
            <w:r>
              <w:rPr>
                <w:rFonts w:hint="default" w:ascii="Times New Roman" w:hAnsi="Times New Roman" w:eastAsia="宋体" w:cs="Times New Roman"/>
                <w:color w:val="auto"/>
                <w:sz w:val="24"/>
                <w:szCs w:val="24"/>
                <w:lang w:val="en-US" w:eastAsia="zh-CN"/>
              </w:rPr>
              <w:t>调查，</w:t>
            </w:r>
            <w:r>
              <w:rPr>
                <w:rFonts w:hint="eastAsia" w:ascii="Times New Roman" w:hAnsi="Times New Roman" w:eastAsia="宋体" w:cs="Times New Roman"/>
                <w:b w:val="0"/>
                <w:bCs w:val="0"/>
                <w:color w:val="auto"/>
                <w:sz w:val="24"/>
                <w:highlight w:val="none"/>
                <w:lang w:val="en-US" w:eastAsia="zh-CN"/>
              </w:rPr>
              <w:t>根据现场踏勘，项目厂界外周边50m范围内存在声环境保护目标，主要为居民区、酒店、气象局。建设单位于202</w:t>
            </w:r>
            <w:r>
              <w:rPr>
                <w:rFonts w:hint="eastAsia" w:cs="Times New Roman"/>
                <w:b w:val="0"/>
                <w:bCs w:val="0"/>
                <w:color w:val="auto"/>
                <w:sz w:val="24"/>
                <w:highlight w:val="none"/>
                <w:lang w:val="en-US" w:eastAsia="zh-CN"/>
              </w:rPr>
              <w:t>6</w:t>
            </w:r>
            <w:r>
              <w:rPr>
                <w:rFonts w:hint="eastAsia" w:ascii="Times New Roman" w:hAnsi="Times New Roman" w:eastAsia="宋体" w:cs="Times New Roman"/>
                <w:b w:val="0"/>
                <w:bCs w:val="0"/>
                <w:color w:val="auto"/>
                <w:sz w:val="24"/>
                <w:highlight w:val="none"/>
                <w:lang w:val="en-US" w:eastAsia="zh-CN"/>
              </w:rPr>
              <w:t>年0</w:t>
            </w:r>
            <w:r>
              <w:rPr>
                <w:rFonts w:hint="eastAsia" w:cs="Times New Roman"/>
                <w:b w:val="0"/>
                <w:bCs w:val="0"/>
                <w:color w:val="auto"/>
                <w:sz w:val="24"/>
                <w:highlight w:val="none"/>
                <w:lang w:val="en-US" w:eastAsia="zh-CN"/>
              </w:rPr>
              <w:t>4</w:t>
            </w:r>
            <w:r>
              <w:rPr>
                <w:rFonts w:hint="eastAsia" w:ascii="Times New Roman" w:hAnsi="Times New Roman" w:eastAsia="宋体" w:cs="Times New Roman"/>
                <w:b w:val="0"/>
                <w:bCs w:val="0"/>
                <w:color w:val="auto"/>
                <w:sz w:val="24"/>
                <w:highlight w:val="none"/>
                <w:lang w:val="en-US" w:eastAsia="zh-CN"/>
              </w:rPr>
              <w:t>月</w:t>
            </w:r>
            <w:r>
              <w:rPr>
                <w:rFonts w:hint="eastAsia" w:cs="Times New Roman"/>
                <w:b w:val="0"/>
                <w:bCs w:val="0"/>
                <w:color w:val="auto"/>
                <w:sz w:val="24"/>
                <w:highlight w:val="none"/>
                <w:lang w:val="en-US" w:eastAsia="zh-CN"/>
              </w:rPr>
              <w:t>22</w:t>
            </w:r>
            <w:r>
              <w:rPr>
                <w:rFonts w:hint="eastAsia" w:ascii="Times New Roman" w:hAnsi="Times New Roman" w:eastAsia="宋体" w:cs="Times New Roman"/>
                <w:b w:val="0"/>
                <w:bCs w:val="0"/>
                <w:color w:val="auto"/>
                <w:sz w:val="24"/>
                <w:highlight w:val="none"/>
                <w:lang w:val="en-US" w:eastAsia="zh-CN"/>
              </w:rPr>
              <w:t>日对项目噪声敏感点的声环境质量现状进行了监测，监测结果见表3-2</w:t>
            </w:r>
            <w:r>
              <w:rPr>
                <w:rFonts w:hint="default" w:ascii="Times New Roman" w:hAnsi="Times New Roman" w:eastAsia="宋体" w:cs="Times New Roman"/>
                <w:color w:val="auto"/>
                <w:sz w:val="24"/>
                <w:szCs w:val="24"/>
                <w:lang w:val="en-US" w:eastAsia="zh-CN"/>
              </w:rPr>
              <w:t>。</w:t>
            </w:r>
          </w:p>
          <w:p w14:paraId="2FB9A93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color w:val="auto"/>
                <w:sz w:val="21"/>
                <w:szCs w:val="21"/>
                <w:highlight w:val="none"/>
                <w:lang w:val="en-US" w:eastAsia="zh-CN"/>
              </w:rPr>
            </w:pPr>
            <w:r>
              <w:rPr>
                <w:rFonts w:hint="eastAsia" w:ascii="Times New Roman" w:hAnsi="Times New Roman" w:eastAsia="宋体" w:cs="Times New Roman"/>
                <w:b/>
                <w:color w:val="auto"/>
                <w:sz w:val="21"/>
                <w:szCs w:val="21"/>
                <w:highlight w:val="none"/>
                <w:lang w:val="en-US" w:eastAsia="zh-CN"/>
              </w:rPr>
              <w:t>表3-2 声环境质量现状监测结果     单位：dB（A）</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2272"/>
              <w:gridCol w:w="897"/>
              <w:gridCol w:w="2176"/>
              <w:gridCol w:w="931"/>
              <w:gridCol w:w="931"/>
              <w:gridCol w:w="931"/>
              <w:gridCol w:w="932"/>
            </w:tblGrid>
            <w:tr w14:paraId="216B0E2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252" w:type="pct"/>
                  <w:vMerge w:val="restart"/>
                  <w:tcBorders>
                    <w:tl2br w:val="nil"/>
                    <w:tr2bl w:val="nil"/>
                  </w:tcBorders>
                  <w:noWrap w:val="0"/>
                  <w:vAlign w:val="center"/>
                </w:tcPr>
                <w:p w14:paraId="6F0F16FC">
                  <w:pPr>
                    <w:adjustRightInd w:val="0"/>
                    <w:snapToGrid w:val="0"/>
                    <w:spacing w:line="360" w:lineRule="atLeast"/>
                    <w:ind w:firstLine="0" w:firstLineChars="0"/>
                    <w:jc w:val="center"/>
                    <w:rPr>
                      <w:b/>
                      <w:bCs/>
                      <w:color w:val="auto"/>
                      <w:sz w:val="21"/>
                      <w:szCs w:val="21"/>
                    </w:rPr>
                  </w:pPr>
                  <w:r>
                    <w:rPr>
                      <w:b/>
                      <w:bCs/>
                      <w:color w:val="auto"/>
                      <w:sz w:val="21"/>
                      <w:szCs w:val="21"/>
                    </w:rPr>
                    <w:t>监测日期</w:t>
                  </w:r>
                </w:p>
              </w:tc>
              <w:tc>
                <w:tcPr>
                  <w:tcW w:w="494" w:type="pct"/>
                  <w:vMerge w:val="restart"/>
                  <w:tcBorders>
                    <w:tl2br w:val="nil"/>
                    <w:tr2bl w:val="nil"/>
                  </w:tcBorders>
                  <w:noWrap w:val="0"/>
                  <w:vAlign w:val="center"/>
                </w:tcPr>
                <w:p w14:paraId="0FF8F5C2">
                  <w:pPr>
                    <w:adjustRightInd w:val="0"/>
                    <w:snapToGrid w:val="0"/>
                    <w:spacing w:line="360" w:lineRule="atLeast"/>
                    <w:ind w:firstLine="0" w:firstLineChars="0"/>
                    <w:jc w:val="center"/>
                    <w:rPr>
                      <w:rFonts w:hint="eastAsia" w:eastAsia="宋体"/>
                      <w:b/>
                      <w:bCs/>
                      <w:color w:val="auto"/>
                      <w:sz w:val="21"/>
                      <w:szCs w:val="21"/>
                      <w:lang w:eastAsia="zh-CN"/>
                    </w:rPr>
                  </w:pPr>
                  <w:r>
                    <w:rPr>
                      <w:rFonts w:hint="eastAsia"/>
                      <w:b/>
                      <w:bCs/>
                      <w:color w:val="auto"/>
                      <w:sz w:val="21"/>
                      <w:szCs w:val="21"/>
                      <w:lang w:eastAsia="zh-CN"/>
                    </w:rPr>
                    <w:t>编号</w:t>
                  </w:r>
                </w:p>
              </w:tc>
              <w:tc>
                <w:tcPr>
                  <w:tcW w:w="1199" w:type="pct"/>
                  <w:vMerge w:val="restart"/>
                  <w:tcBorders>
                    <w:tl2br w:val="nil"/>
                    <w:tr2bl w:val="nil"/>
                  </w:tcBorders>
                  <w:noWrap w:val="0"/>
                  <w:vAlign w:val="center"/>
                </w:tcPr>
                <w:p w14:paraId="6F22992D">
                  <w:pPr>
                    <w:adjustRightInd w:val="0"/>
                    <w:snapToGrid w:val="0"/>
                    <w:spacing w:line="360" w:lineRule="atLeast"/>
                    <w:ind w:firstLine="0" w:firstLineChars="0"/>
                    <w:jc w:val="center"/>
                    <w:rPr>
                      <w:b/>
                      <w:bCs/>
                      <w:color w:val="auto"/>
                      <w:sz w:val="21"/>
                      <w:szCs w:val="21"/>
                    </w:rPr>
                  </w:pPr>
                  <w:r>
                    <w:rPr>
                      <w:b/>
                      <w:bCs/>
                      <w:color w:val="auto"/>
                      <w:sz w:val="21"/>
                      <w:szCs w:val="21"/>
                    </w:rPr>
                    <w:t>监测点位</w:t>
                  </w:r>
                </w:p>
              </w:tc>
              <w:tc>
                <w:tcPr>
                  <w:tcW w:w="1026" w:type="pct"/>
                  <w:gridSpan w:val="2"/>
                  <w:tcBorders>
                    <w:tl2br w:val="nil"/>
                    <w:tr2bl w:val="nil"/>
                  </w:tcBorders>
                  <w:noWrap w:val="0"/>
                  <w:vAlign w:val="center"/>
                </w:tcPr>
                <w:p w14:paraId="3C267DCD">
                  <w:pPr>
                    <w:adjustRightInd w:val="0"/>
                    <w:snapToGrid w:val="0"/>
                    <w:spacing w:line="360" w:lineRule="atLeast"/>
                    <w:ind w:firstLine="0" w:firstLineChars="0"/>
                    <w:jc w:val="center"/>
                    <w:rPr>
                      <w:b/>
                      <w:bCs/>
                      <w:color w:val="auto"/>
                      <w:sz w:val="21"/>
                      <w:szCs w:val="21"/>
                    </w:rPr>
                  </w:pPr>
                  <w:r>
                    <w:rPr>
                      <w:b/>
                      <w:bCs/>
                      <w:color w:val="auto"/>
                      <w:sz w:val="21"/>
                      <w:szCs w:val="21"/>
                    </w:rPr>
                    <w:t>监测结果</w:t>
                  </w:r>
                </w:p>
              </w:tc>
              <w:tc>
                <w:tcPr>
                  <w:tcW w:w="1026" w:type="pct"/>
                  <w:gridSpan w:val="2"/>
                  <w:tcBorders>
                    <w:tl2br w:val="nil"/>
                    <w:tr2bl w:val="nil"/>
                  </w:tcBorders>
                  <w:noWrap w:val="0"/>
                  <w:vAlign w:val="center"/>
                </w:tcPr>
                <w:p w14:paraId="6B5A060C">
                  <w:pPr>
                    <w:adjustRightInd w:val="0"/>
                    <w:snapToGrid w:val="0"/>
                    <w:spacing w:line="360" w:lineRule="atLeast"/>
                    <w:ind w:firstLine="0" w:firstLineChars="0"/>
                    <w:jc w:val="center"/>
                    <w:rPr>
                      <w:b/>
                      <w:bCs/>
                      <w:color w:val="auto"/>
                      <w:sz w:val="21"/>
                      <w:szCs w:val="21"/>
                    </w:rPr>
                  </w:pPr>
                  <w:r>
                    <w:rPr>
                      <w:b/>
                      <w:bCs/>
                      <w:color w:val="auto"/>
                      <w:sz w:val="21"/>
                      <w:szCs w:val="21"/>
                    </w:rPr>
                    <w:t>标准值</w:t>
                  </w:r>
                </w:p>
              </w:tc>
            </w:tr>
            <w:tr w14:paraId="7FB703D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252" w:type="pct"/>
                  <w:vMerge w:val="continue"/>
                  <w:tcBorders>
                    <w:tl2br w:val="nil"/>
                    <w:tr2bl w:val="nil"/>
                  </w:tcBorders>
                  <w:noWrap w:val="0"/>
                  <w:vAlign w:val="center"/>
                </w:tcPr>
                <w:p w14:paraId="1E3B3849">
                  <w:pPr>
                    <w:adjustRightInd w:val="0"/>
                    <w:snapToGrid w:val="0"/>
                    <w:spacing w:line="360" w:lineRule="atLeast"/>
                    <w:ind w:firstLine="0" w:firstLineChars="0"/>
                    <w:jc w:val="center"/>
                    <w:rPr>
                      <w:b/>
                      <w:bCs/>
                      <w:color w:val="auto"/>
                      <w:sz w:val="21"/>
                      <w:szCs w:val="21"/>
                    </w:rPr>
                  </w:pPr>
                  <w:r>
                    <w:rPr>
                      <w:b/>
                      <w:bCs/>
                      <w:color w:val="auto"/>
                      <w:sz w:val="21"/>
                      <w:szCs w:val="21"/>
                    </w:rPr>
                    <w:t xml:space="preserve">       </w:t>
                  </w:r>
                  <w:r>
                    <w:rPr>
                      <w:b/>
                      <w:bCs/>
                      <w:color w:val="auto"/>
                      <w:sz w:val="21"/>
                      <w:szCs w:val="21"/>
                    </w:rPr>
                    <w:cr/>
                  </w:r>
                  <w:r>
                    <w:rPr>
                      <w:b/>
                      <w:bCs/>
                      <w:color w:val="auto"/>
                      <w:sz w:val="21"/>
                      <w:szCs w:val="21"/>
                    </w:rPr>
                    <w:cr/>
                  </w:r>
                  <w:r>
                    <w:rPr>
                      <w:b/>
                      <w:bCs/>
                      <w:color w:val="auto"/>
                      <w:sz w:val="21"/>
                      <w:szCs w:val="21"/>
                    </w:rPr>
                    <w:t xml:space="preserve">    </w:t>
                  </w:r>
                </w:p>
              </w:tc>
              <w:tc>
                <w:tcPr>
                  <w:tcW w:w="494" w:type="pct"/>
                  <w:vMerge w:val="continue"/>
                  <w:tcBorders>
                    <w:tl2br w:val="nil"/>
                    <w:tr2bl w:val="nil"/>
                  </w:tcBorders>
                  <w:noWrap w:val="0"/>
                  <w:vAlign w:val="center"/>
                </w:tcPr>
                <w:p w14:paraId="33ADA355">
                  <w:pPr>
                    <w:adjustRightInd w:val="0"/>
                    <w:snapToGrid w:val="0"/>
                    <w:spacing w:line="360" w:lineRule="atLeast"/>
                    <w:ind w:firstLine="0" w:firstLineChars="0"/>
                    <w:jc w:val="center"/>
                    <w:rPr>
                      <w:b/>
                      <w:bCs/>
                      <w:color w:val="auto"/>
                      <w:sz w:val="21"/>
                      <w:szCs w:val="21"/>
                    </w:rPr>
                  </w:pPr>
                </w:p>
              </w:tc>
              <w:tc>
                <w:tcPr>
                  <w:tcW w:w="1199" w:type="pct"/>
                  <w:vMerge w:val="continue"/>
                  <w:tcBorders>
                    <w:tl2br w:val="nil"/>
                    <w:tr2bl w:val="nil"/>
                  </w:tcBorders>
                  <w:noWrap w:val="0"/>
                  <w:vAlign w:val="center"/>
                </w:tcPr>
                <w:p w14:paraId="5F2A5749">
                  <w:pPr>
                    <w:adjustRightInd w:val="0"/>
                    <w:snapToGrid w:val="0"/>
                    <w:spacing w:line="360" w:lineRule="atLeast"/>
                    <w:ind w:firstLine="0" w:firstLineChars="0"/>
                    <w:jc w:val="center"/>
                    <w:rPr>
                      <w:b/>
                      <w:bCs/>
                      <w:color w:val="auto"/>
                      <w:sz w:val="21"/>
                      <w:szCs w:val="21"/>
                    </w:rPr>
                  </w:pPr>
                </w:p>
              </w:tc>
              <w:tc>
                <w:tcPr>
                  <w:tcW w:w="513" w:type="pct"/>
                  <w:tcBorders>
                    <w:tl2br w:val="nil"/>
                    <w:tr2bl w:val="nil"/>
                  </w:tcBorders>
                  <w:noWrap w:val="0"/>
                  <w:vAlign w:val="center"/>
                </w:tcPr>
                <w:p w14:paraId="3213FA51">
                  <w:pPr>
                    <w:adjustRightInd w:val="0"/>
                    <w:snapToGrid w:val="0"/>
                    <w:spacing w:line="360" w:lineRule="atLeast"/>
                    <w:ind w:firstLine="0" w:firstLineChars="0"/>
                    <w:jc w:val="center"/>
                    <w:rPr>
                      <w:b/>
                      <w:bCs/>
                      <w:color w:val="auto"/>
                      <w:sz w:val="21"/>
                      <w:szCs w:val="21"/>
                    </w:rPr>
                  </w:pPr>
                  <w:r>
                    <w:rPr>
                      <w:b/>
                      <w:bCs/>
                      <w:color w:val="auto"/>
                      <w:sz w:val="21"/>
                      <w:szCs w:val="21"/>
                    </w:rPr>
                    <w:t>昼间</w:t>
                  </w:r>
                </w:p>
              </w:tc>
              <w:tc>
                <w:tcPr>
                  <w:tcW w:w="513" w:type="pct"/>
                  <w:tcBorders>
                    <w:tl2br w:val="nil"/>
                    <w:tr2bl w:val="nil"/>
                  </w:tcBorders>
                  <w:noWrap w:val="0"/>
                  <w:vAlign w:val="center"/>
                </w:tcPr>
                <w:p w14:paraId="69789FB9">
                  <w:pPr>
                    <w:adjustRightInd w:val="0"/>
                    <w:snapToGrid w:val="0"/>
                    <w:spacing w:line="360" w:lineRule="atLeast"/>
                    <w:ind w:firstLine="0" w:firstLineChars="0"/>
                    <w:jc w:val="center"/>
                    <w:rPr>
                      <w:b/>
                      <w:bCs/>
                      <w:color w:val="auto"/>
                      <w:sz w:val="21"/>
                      <w:szCs w:val="21"/>
                    </w:rPr>
                  </w:pPr>
                  <w:r>
                    <w:rPr>
                      <w:b/>
                      <w:bCs/>
                      <w:color w:val="auto"/>
                      <w:sz w:val="21"/>
                      <w:szCs w:val="21"/>
                    </w:rPr>
                    <w:t>夜间</w:t>
                  </w:r>
                </w:p>
              </w:tc>
              <w:tc>
                <w:tcPr>
                  <w:tcW w:w="513" w:type="pct"/>
                  <w:tcBorders>
                    <w:tl2br w:val="nil"/>
                    <w:tr2bl w:val="nil"/>
                  </w:tcBorders>
                  <w:noWrap w:val="0"/>
                  <w:vAlign w:val="center"/>
                </w:tcPr>
                <w:p w14:paraId="053B49EF">
                  <w:pPr>
                    <w:adjustRightInd w:val="0"/>
                    <w:snapToGrid w:val="0"/>
                    <w:spacing w:line="360" w:lineRule="atLeast"/>
                    <w:ind w:firstLine="0" w:firstLineChars="0"/>
                    <w:jc w:val="center"/>
                    <w:rPr>
                      <w:b/>
                      <w:bCs/>
                      <w:color w:val="auto"/>
                      <w:sz w:val="21"/>
                      <w:szCs w:val="21"/>
                    </w:rPr>
                  </w:pPr>
                  <w:r>
                    <w:rPr>
                      <w:b/>
                      <w:bCs/>
                      <w:color w:val="auto"/>
                      <w:sz w:val="21"/>
                      <w:szCs w:val="21"/>
                    </w:rPr>
                    <w:t>昼间</w:t>
                  </w:r>
                </w:p>
              </w:tc>
              <w:tc>
                <w:tcPr>
                  <w:tcW w:w="513" w:type="pct"/>
                  <w:tcBorders>
                    <w:tl2br w:val="nil"/>
                    <w:tr2bl w:val="nil"/>
                  </w:tcBorders>
                  <w:noWrap w:val="0"/>
                  <w:vAlign w:val="center"/>
                </w:tcPr>
                <w:p w14:paraId="4EC18735">
                  <w:pPr>
                    <w:adjustRightInd w:val="0"/>
                    <w:snapToGrid w:val="0"/>
                    <w:spacing w:line="360" w:lineRule="atLeast"/>
                    <w:ind w:firstLine="0" w:firstLineChars="0"/>
                    <w:jc w:val="center"/>
                    <w:rPr>
                      <w:b/>
                      <w:bCs/>
                      <w:color w:val="auto"/>
                      <w:sz w:val="21"/>
                      <w:szCs w:val="21"/>
                    </w:rPr>
                  </w:pPr>
                  <w:r>
                    <w:rPr>
                      <w:b/>
                      <w:bCs/>
                      <w:color w:val="auto"/>
                      <w:sz w:val="21"/>
                      <w:szCs w:val="21"/>
                    </w:rPr>
                    <w:t>夜间</w:t>
                  </w:r>
                </w:p>
              </w:tc>
            </w:tr>
            <w:tr w14:paraId="3237F30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252" w:type="pct"/>
                  <w:vMerge w:val="restart"/>
                  <w:tcBorders>
                    <w:tl2br w:val="nil"/>
                    <w:tr2bl w:val="nil"/>
                  </w:tcBorders>
                  <w:noWrap w:val="0"/>
                  <w:vAlign w:val="center"/>
                </w:tcPr>
                <w:p w14:paraId="2531280C">
                  <w:pPr>
                    <w:adjustRightInd w:val="0"/>
                    <w:snapToGrid w:val="0"/>
                    <w:spacing w:line="360" w:lineRule="atLeast"/>
                    <w:ind w:firstLine="0" w:firstLineChars="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202</w:t>
                  </w:r>
                  <w:r>
                    <w:rPr>
                      <w:rFonts w:hint="eastAsia" w:cs="Times New Roman"/>
                      <w:color w:val="auto"/>
                      <w:sz w:val="21"/>
                      <w:szCs w:val="21"/>
                      <w:highlight w:val="none"/>
                      <w:lang w:val="en-US" w:eastAsia="zh-CN"/>
                    </w:rPr>
                    <w:t>6</w:t>
                  </w:r>
                  <w:r>
                    <w:rPr>
                      <w:rFonts w:hint="eastAsia" w:ascii="Times New Roman" w:hAnsi="Times New Roman" w:eastAsia="宋体" w:cs="Times New Roman"/>
                      <w:color w:val="auto"/>
                      <w:sz w:val="21"/>
                      <w:szCs w:val="21"/>
                      <w:highlight w:val="none"/>
                    </w:rPr>
                    <w:t>年</w:t>
                  </w:r>
                  <w:r>
                    <w:rPr>
                      <w:rFonts w:hint="eastAsia" w:cs="Times New Roman"/>
                      <w:color w:val="auto"/>
                      <w:sz w:val="21"/>
                      <w:szCs w:val="21"/>
                      <w:highlight w:val="none"/>
                      <w:lang w:val="en-US" w:eastAsia="zh-CN"/>
                    </w:rPr>
                    <w:t>04</w:t>
                  </w:r>
                  <w:r>
                    <w:rPr>
                      <w:rFonts w:hint="eastAsia" w:ascii="Times New Roman" w:hAnsi="Times New Roman" w:eastAsia="宋体" w:cs="Times New Roman"/>
                      <w:color w:val="auto"/>
                      <w:sz w:val="21"/>
                      <w:szCs w:val="21"/>
                      <w:highlight w:val="none"/>
                    </w:rPr>
                    <w:t>月</w:t>
                  </w:r>
                  <w:r>
                    <w:rPr>
                      <w:rFonts w:hint="eastAsia" w:cs="Times New Roman"/>
                      <w:color w:val="auto"/>
                      <w:sz w:val="21"/>
                      <w:szCs w:val="21"/>
                      <w:highlight w:val="none"/>
                      <w:lang w:val="en-US" w:eastAsia="zh-CN"/>
                    </w:rPr>
                    <w:t>22</w:t>
                  </w:r>
                  <w:r>
                    <w:rPr>
                      <w:rFonts w:hint="eastAsia" w:ascii="Times New Roman" w:hAnsi="Times New Roman" w:eastAsia="宋体" w:cs="Times New Roman"/>
                      <w:color w:val="auto"/>
                      <w:sz w:val="21"/>
                      <w:szCs w:val="21"/>
                      <w:highlight w:val="none"/>
                    </w:rPr>
                    <w:t>日</w:t>
                  </w:r>
                </w:p>
              </w:tc>
              <w:tc>
                <w:tcPr>
                  <w:tcW w:w="494" w:type="pct"/>
                  <w:tcBorders>
                    <w:tl2br w:val="nil"/>
                    <w:tr2bl w:val="nil"/>
                  </w:tcBorders>
                  <w:noWrap w:val="0"/>
                  <w:vAlign w:val="center"/>
                </w:tcPr>
                <w:p w14:paraId="787784A3">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N1#</w:t>
                  </w:r>
                </w:p>
              </w:tc>
              <w:tc>
                <w:tcPr>
                  <w:tcW w:w="1199" w:type="pct"/>
                  <w:tcBorders>
                    <w:tl2br w:val="nil"/>
                    <w:tr2bl w:val="nil"/>
                  </w:tcBorders>
                  <w:noWrap w:val="0"/>
                  <w:vAlign w:val="center"/>
                </w:tcPr>
                <w:p w14:paraId="6293199C">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厂界东侧</w:t>
                  </w:r>
                </w:p>
              </w:tc>
              <w:tc>
                <w:tcPr>
                  <w:tcW w:w="931" w:type="dxa"/>
                  <w:tcBorders>
                    <w:tl2br w:val="nil"/>
                    <w:tr2bl w:val="nil"/>
                  </w:tcBorders>
                  <w:noWrap w:val="0"/>
                  <w:vAlign w:val="center"/>
                </w:tcPr>
                <w:p w14:paraId="4F67BBF1">
                  <w:pPr>
                    <w:adjustRightInd w:val="0"/>
                    <w:snapToGrid w:val="0"/>
                    <w:spacing w:line="360" w:lineRule="atLeas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55</w:t>
                  </w:r>
                </w:p>
              </w:tc>
              <w:tc>
                <w:tcPr>
                  <w:tcW w:w="931" w:type="dxa"/>
                  <w:tcBorders>
                    <w:tl2br w:val="nil"/>
                    <w:tr2bl w:val="nil"/>
                  </w:tcBorders>
                  <w:noWrap w:val="0"/>
                  <w:vAlign w:val="center"/>
                </w:tcPr>
                <w:p w14:paraId="50027CCF">
                  <w:pPr>
                    <w:adjustRightInd w:val="0"/>
                    <w:snapToGrid w:val="0"/>
                    <w:spacing w:line="360" w:lineRule="atLeas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45</w:t>
                  </w:r>
                </w:p>
              </w:tc>
              <w:tc>
                <w:tcPr>
                  <w:tcW w:w="513" w:type="pct"/>
                  <w:tcBorders>
                    <w:tl2br w:val="nil"/>
                    <w:tr2bl w:val="nil"/>
                  </w:tcBorders>
                  <w:noWrap w:val="0"/>
                  <w:vAlign w:val="center"/>
                </w:tcPr>
                <w:p w14:paraId="24EA2E64">
                  <w:pPr>
                    <w:adjustRightInd w:val="0"/>
                    <w:snapToGrid w:val="0"/>
                    <w:spacing w:line="360" w:lineRule="atLeas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513" w:type="pct"/>
                  <w:tcBorders>
                    <w:tl2br w:val="nil"/>
                    <w:tr2bl w:val="nil"/>
                  </w:tcBorders>
                  <w:noWrap w:val="0"/>
                  <w:vAlign w:val="center"/>
                </w:tcPr>
                <w:p w14:paraId="0BEC82BA">
                  <w:pPr>
                    <w:adjustRightInd w:val="0"/>
                    <w:snapToGrid w:val="0"/>
                    <w:spacing w:line="360" w:lineRule="atLeas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r>
            <w:tr w14:paraId="023C95E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252" w:type="pct"/>
                  <w:vMerge w:val="continue"/>
                  <w:tcBorders>
                    <w:tl2br w:val="nil"/>
                    <w:tr2bl w:val="nil"/>
                  </w:tcBorders>
                  <w:noWrap w:val="0"/>
                  <w:vAlign w:val="center"/>
                </w:tcPr>
                <w:p w14:paraId="2D5EA9CB">
                  <w:pPr>
                    <w:adjustRightInd w:val="0"/>
                    <w:snapToGrid w:val="0"/>
                    <w:spacing w:line="360" w:lineRule="atLeast"/>
                    <w:ind w:firstLine="0" w:firstLineChars="0"/>
                    <w:jc w:val="center"/>
                    <w:rPr>
                      <w:rFonts w:hint="eastAsia" w:ascii="Times New Roman" w:hAnsi="Times New Roman" w:eastAsia="宋体" w:cs="Times New Roman"/>
                      <w:color w:val="auto"/>
                      <w:sz w:val="21"/>
                      <w:szCs w:val="21"/>
                    </w:rPr>
                  </w:pPr>
                </w:p>
              </w:tc>
              <w:tc>
                <w:tcPr>
                  <w:tcW w:w="494" w:type="pct"/>
                  <w:tcBorders>
                    <w:tl2br w:val="nil"/>
                    <w:tr2bl w:val="nil"/>
                  </w:tcBorders>
                  <w:noWrap w:val="0"/>
                  <w:vAlign w:val="center"/>
                </w:tcPr>
                <w:p w14:paraId="57346548">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N2#</w:t>
                  </w:r>
                </w:p>
              </w:tc>
              <w:tc>
                <w:tcPr>
                  <w:tcW w:w="1199" w:type="pct"/>
                  <w:tcBorders>
                    <w:tl2br w:val="nil"/>
                    <w:tr2bl w:val="nil"/>
                  </w:tcBorders>
                  <w:noWrap w:val="0"/>
                  <w:vAlign w:val="center"/>
                </w:tcPr>
                <w:p w14:paraId="2193AF6C">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厂界南侧</w:t>
                  </w:r>
                </w:p>
              </w:tc>
              <w:tc>
                <w:tcPr>
                  <w:tcW w:w="931" w:type="dxa"/>
                  <w:tcBorders>
                    <w:tl2br w:val="nil"/>
                    <w:tr2bl w:val="nil"/>
                  </w:tcBorders>
                  <w:noWrap w:val="0"/>
                  <w:vAlign w:val="center"/>
                </w:tcPr>
                <w:p w14:paraId="07E3F5EA">
                  <w:pPr>
                    <w:adjustRightInd w:val="0"/>
                    <w:snapToGrid w:val="0"/>
                    <w:spacing w:line="360" w:lineRule="atLeas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54</w:t>
                  </w:r>
                </w:p>
              </w:tc>
              <w:tc>
                <w:tcPr>
                  <w:tcW w:w="931" w:type="dxa"/>
                  <w:tcBorders>
                    <w:tl2br w:val="nil"/>
                    <w:tr2bl w:val="nil"/>
                  </w:tcBorders>
                  <w:noWrap w:val="0"/>
                  <w:vAlign w:val="center"/>
                </w:tcPr>
                <w:p w14:paraId="237C2A1A">
                  <w:pPr>
                    <w:adjustRightInd w:val="0"/>
                    <w:snapToGrid w:val="0"/>
                    <w:spacing w:line="360" w:lineRule="atLeas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43</w:t>
                  </w:r>
                </w:p>
              </w:tc>
              <w:tc>
                <w:tcPr>
                  <w:tcW w:w="931" w:type="dxa"/>
                  <w:tcBorders>
                    <w:tl2br w:val="nil"/>
                    <w:tr2bl w:val="nil"/>
                  </w:tcBorders>
                  <w:noWrap w:val="0"/>
                  <w:vAlign w:val="center"/>
                </w:tcPr>
                <w:p w14:paraId="77E473D6">
                  <w:pPr>
                    <w:adjustRightInd w:val="0"/>
                    <w:snapToGrid w:val="0"/>
                    <w:spacing w:line="360" w:lineRule="atLeas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932" w:type="dxa"/>
                  <w:tcBorders>
                    <w:tl2br w:val="nil"/>
                    <w:tr2bl w:val="nil"/>
                  </w:tcBorders>
                  <w:noWrap w:val="0"/>
                  <w:vAlign w:val="center"/>
                </w:tcPr>
                <w:p w14:paraId="19A887DE">
                  <w:pPr>
                    <w:adjustRightInd w:val="0"/>
                    <w:snapToGrid w:val="0"/>
                    <w:spacing w:line="360" w:lineRule="atLeast"/>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r>
            <w:tr w14:paraId="0EC02FD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252" w:type="pct"/>
                  <w:vMerge w:val="continue"/>
                  <w:tcBorders>
                    <w:tl2br w:val="nil"/>
                    <w:tr2bl w:val="nil"/>
                  </w:tcBorders>
                  <w:noWrap w:val="0"/>
                  <w:vAlign w:val="center"/>
                </w:tcPr>
                <w:p w14:paraId="2E3F7EED">
                  <w:pPr>
                    <w:adjustRightInd w:val="0"/>
                    <w:snapToGrid w:val="0"/>
                    <w:spacing w:line="360" w:lineRule="atLeast"/>
                    <w:ind w:firstLine="0" w:firstLineChars="0"/>
                    <w:jc w:val="center"/>
                    <w:rPr>
                      <w:rFonts w:hint="eastAsia" w:ascii="Times New Roman" w:hAnsi="Times New Roman" w:eastAsia="宋体" w:cs="Times New Roman"/>
                      <w:color w:val="auto"/>
                      <w:sz w:val="21"/>
                      <w:szCs w:val="21"/>
                    </w:rPr>
                  </w:pPr>
                </w:p>
              </w:tc>
              <w:tc>
                <w:tcPr>
                  <w:tcW w:w="494" w:type="pct"/>
                  <w:tcBorders>
                    <w:tl2br w:val="nil"/>
                    <w:tr2bl w:val="nil"/>
                  </w:tcBorders>
                  <w:noWrap w:val="0"/>
                  <w:vAlign w:val="center"/>
                </w:tcPr>
                <w:p w14:paraId="65DFDC35">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N3#</w:t>
                  </w:r>
                </w:p>
              </w:tc>
              <w:tc>
                <w:tcPr>
                  <w:tcW w:w="1199" w:type="pct"/>
                  <w:tcBorders>
                    <w:tl2br w:val="nil"/>
                    <w:tr2bl w:val="nil"/>
                  </w:tcBorders>
                  <w:noWrap w:val="0"/>
                  <w:vAlign w:val="center"/>
                </w:tcPr>
                <w:p w14:paraId="603DD6B7">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厂界西侧</w:t>
                  </w:r>
                </w:p>
              </w:tc>
              <w:tc>
                <w:tcPr>
                  <w:tcW w:w="931" w:type="dxa"/>
                  <w:tcBorders>
                    <w:tl2br w:val="nil"/>
                    <w:tr2bl w:val="nil"/>
                  </w:tcBorders>
                  <w:noWrap w:val="0"/>
                  <w:vAlign w:val="center"/>
                </w:tcPr>
                <w:p w14:paraId="2B4B1FBF">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54</w:t>
                  </w:r>
                </w:p>
              </w:tc>
              <w:tc>
                <w:tcPr>
                  <w:tcW w:w="931" w:type="dxa"/>
                  <w:tcBorders>
                    <w:tl2br w:val="nil"/>
                    <w:tr2bl w:val="nil"/>
                  </w:tcBorders>
                  <w:noWrap w:val="0"/>
                  <w:vAlign w:val="center"/>
                </w:tcPr>
                <w:p w14:paraId="5FCCA198">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46</w:t>
                  </w:r>
                </w:p>
              </w:tc>
              <w:tc>
                <w:tcPr>
                  <w:tcW w:w="931" w:type="dxa"/>
                  <w:tcBorders>
                    <w:tl2br w:val="nil"/>
                    <w:tr2bl w:val="nil"/>
                  </w:tcBorders>
                  <w:noWrap w:val="0"/>
                  <w:vAlign w:val="center"/>
                </w:tcPr>
                <w:p w14:paraId="1DB6206F">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932" w:type="dxa"/>
                  <w:tcBorders>
                    <w:tl2br w:val="nil"/>
                    <w:tr2bl w:val="nil"/>
                  </w:tcBorders>
                  <w:noWrap w:val="0"/>
                  <w:vAlign w:val="center"/>
                </w:tcPr>
                <w:p w14:paraId="4158E28C">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r>
            <w:tr w14:paraId="16085BA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252" w:type="pct"/>
                  <w:vMerge w:val="continue"/>
                  <w:tcBorders>
                    <w:tl2br w:val="nil"/>
                    <w:tr2bl w:val="nil"/>
                  </w:tcBorders>
                  <w:noWrap w:val="0"/>
                  <w:vAlign w:val="center"/>
                </w:tcPr>
                <w:p w14:paraId="3FBF2CC1">
                  <w:pPr>
                    <w:adjustRightInd w:val="0"/>
                    <w:snapToGrid w:val="0"/>
                    <w:spacing w:line="360" w:lineRule="atLeast"/>
                    <w:ind w:firstLine="0" w:firstLineChars="0"/>
                    <w:jc w:val="center"/>
                    <w:rPr>
                      <w:rFonts w:hint="eastAsia" w:ascii="Times New Roman" w:hAnsi="Times New Roman" w:eastAsia="宋体" w:cs="Times New Roman"/>
                      <w:color w:val="auto"/>
                      <w:sz w:val="21"/>
                      <w:szCs w:val="21"/>
                    </w:rPr>
                  </w:pPr>
                </w:p>
              </w:tc>
              <w:tc>
                <w:tcPr>
                  <w:tcW w:w="494" w:type="pct"/>
                  <w:tcBorders>
                    <w:tl2br w:val="nil"/>
                    <w:tr2bl w:val="nil"/>
                  </w:tcBorders>
                  <w:noWrap w:val="0"/>
                  <w:vAlign w:val="center"/>
                </w:tcPr>
                <w:p w14:paraId="51F2EC4D">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N4#</w:t>
                  </w:r>
                </w:p>
              </w:tc>
              <w:tc>
                <w:tcPr>
                  <w:tcW w:w="1199" w:type="pct"/>
                  <w:tcBorders>
                    <w:tl2br w:val="nil"/>
                    <w:tr2bl w:val="nil"/>
                  </w:tcBorders>
                  <w:noWrap w:val="0"/>
                  <w:vAlign w:val="center"/>
                </w:tcPr>
                <w:p w14:paraId="6BDBBB12">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厂界北侧</w:t>
                  </w:r>
                </w:p>
              </w:tc>
              <w:tc>
                <w:tcPr>
                  <w:tcW w:w="931" w:type="dxa"/>
                  <w:tcBorders>
                    <w:tl2br w:val="nil"/>
                    <w:tr2bl w:val="nil"/>
                  </w:tcBorders>
                  <w:noWrap w:val="0"/>
                  <w:vAlign w:val="center"/>
                </w:tcPr>
                <w:p w14:paraId="5A886889">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55</w:t>
                  </w:r>
                </w:p>
              </w:tc>
              <w:tc>
                <w:tcPr>
                  <w:tcW w:w="931" w:type="dxa"/>
                  <w:tcBorders>
                    <w:tl2br w:val="nil"/>
                    <w:tr2bl w:val="nil"/>
                  </w:tcBorders>
                  <w:noWrap w:val="0"/>
                  <w:vAlign w:val="center"/>
                </w:tcPr>
                <w:p w14:paraId="1E0346C5">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44</w:t>
                  </w:r>
                </w:p>
              </w:tc>
              <w:tc>
                <w:tcPr>
                  <w:tcW w:w="931" w:type="dxa"/>
                  <w:tcBorders>
                    <w:tl2br w:val="nil"/>
                    <w:tr2bl w:val="nil"/>
                  </w:tcBorders>
                  <w:noWrap w:val="0"/>
                  <w:vAlign w:val="center"/>
                </w:tcPr>
                <w:p w14:paraId="040490C0">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932" w:type="dxa"/>
                  <w:tcBorders>
                    <w:tl2br w:val="nil"/>
                    <w:tr2bl w:val="nil"/>
                  </w:tcBorders>
                  <w:noWrap w:val="0"/>
                  <w:vAlign w:val="center"/>
                </w:tcPr>
                <w:p w14:paraId="682EFC74">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r>
            <w:tr w14:paraId="3F71D10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252" w:type="pct"/>
                  <w:vMerge w:val="continue"/>
                  <w:tcBorders>
                    <w:tl2br w:val="nil"/>
                    <w:tr2bl w:val="nil"/>
                  </w:tcBorders>
                  <w:noWrap w:val="0"/>
                  <w:vAlign w:val="center"/>
                </w:tcPr>
                <w:p w14:paraId="48DE1A34">
                  <w:pPr>
                    <w:adjustRightInd w:val="0"/>
                    <w:snapToGrid w:val="0"/>
                    <w:spacing w:line="360" w:lineRule="atLeast"/>
                    <w:ind w:firstLine="0" w:firstLineChars="0"/>
                    <w:jc w:val="center"/>
                    <w:rPr>
                      <w:rFonts w:hint="eastAsia" w:ascii="Times New Roman" w:hAnsi="Times New Roman" w:eastAsia="宋体" w:cs="Times New Roman"/>
                      <w:color w:val="auto"/>
                      <w:sz w:val="21"/>
                      <w:szCs w:val="21"/>
                    </w:rPr>
                  </w:pPr>
                </w:p>
              </w:tc>
              <w:tc>
                <w:tcPr>
                  <w:tcW w:w="494" w:type="pct"/>
                  <w:tcBorders>
                    <w:tl2br w:val="nil"/>
                    <w:tr2bl w:val="nil"/>
                  </w:tcBorders>
                  <w:noWrap w:val="0"/>
                  <w:vAlign w:val="center"/>
                </w:tcPr>
                <w:p w14:paraId="577E6461">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N5#</w:t>
                  </w:r>
                </w:p>
              </w:tc>
              <w:tc>
                <w:tcPr>
                  <w:tcW w:w="2176" w:type="dxa"/>
                  <w:tcBorders>
                    <w:tl2br w:val="nil"/>
                    <w:tr2bl w:val="nil"/>
                  </w:tcBorders>
                  <w:noWrap w:val="0"/>
                  <w:vAlign w:val="top"/>
                </w:tcPr>
                <w:p w14:paraId="31AF80ED">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佛坪云溪酒店</w:t>
                  </w:r>
                </w:p>
              </w:tc>
              <w:tc>
                <w:tcPr>
                  <w:tcW w:w="931" w:type="dxa"/>
                  <w:tcBorders>
                    <w:tl2br w:val="nil"/>
                    <w:tr2bl w:val="nil"/>
                  </w:tcBorders>
                  <w:noWrap w:val="0"/>
                  <w:vAlign w:val="center"/>
                </w:tcPr>
                <w:p w14:paraId="7250E8AE">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56</w:t>
                  </w:r>
                </w:p>
              </w:tc>
              <w:tc>
                <w:tcPr>
                  <w:tcW w:w="931" w:type="dxa"/>
                  <w:tcBorders>
                    <w:tl2br w:val="nil"/>
                    <w:tr2bl w:val="nil"/>
                  </w:tcBorders>
                  <w:noWrap w:val="0"/>
                  <w:vAlign w:val="center"/>
                </w:tcPr>
                <w:p w14:paraId="2A009D15">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46</w:t>
                  </w:r>
                </w:p>
              </w:tc>
              <w:tc>
                <w:tcPr>
                  <w:tcW w:w="931" w:type="dxa"/>
                  <w:tcBorders>
                    <w:tl2br w:val="nil"/>
                    <w:tr2bl w:val="nil"/>
                  </w:tcBorders>
                  <w:noWrap w:val="0"/>
                  <w:vAlign w:val="center"/>
                </w:tcPr>
                <w:p w14:paraId="44EEE8A9">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932" w:type="dxa"/>
                  <w:tcBorders>
                    <w:tl2br w:val="nil"/>
                    <w:tr2bl w:val="nil"/>
                  </w:tcBorders>
                  <w:noWrap w:val="0"/>
                  <w:vAlign w:val="center"/>
                </w:tcPr>
                <w:p w14:paraId="494B085F">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r>
            <w:tr w14:paraId="4B35E79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252" w:type="pct"/>
                  <w:vMerge w:val="continue"/>
                  <w:tcBorders>
                    <w:tl2br w:val="nil"/>
                    <w:tr2bl w:val="nil"/>
                  </w:tcBorders>
                  <w:noWrap w:val="0"/>
                  <w:vAlign w:val="center"/>
                </w:tcPr>
                <w:p w14:paraId="5AB8B5CB">
                  <w:pPr>
                    <w:adjustRightInd w:val="0"/>
                    <w:snapToGrid w:val="0"/>
                    <w:spacing w:line="360" w:lineRule="atLeast"/>
                    <w:ind w:firstLine="0" w:firstLineChars="0"/>
                    <w:jc w:val="center"/>
                    <w:rPr>
                      <w:rFonts w:hint="eastAsia" w:ascii="Times New Roman" w:hAnsi="Times New Roman" w:eastAsia="宋体" w:cs="Times New Roman"/>
                      <w:color w:val="auto"/>
                      <w:sz w:val="21"/>
                      <w:szCs w:val="21"/>
                    </w:rPr>
                  </w:pPr>
                </w:p>
              </w:tc>
              <w:tc>
                <w:tcPr>
                  <w:tcW w:w="494" w:type="pct"/>
                  <w:tcBorders>
                    <w:tl2br w:val="nil"/>
                    <w:tr2bl w:val="nil"/>
                  </w:tcBorders>
                  <w:noWrap w:val="0"/>
                  <w:vAlign w:val="center"/>
                </w:tcPr>
                <w:p w14:paraId="1C3F211F">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N6#</w:t>
                  </w:r>
                </w:p>
              </w:tc>
              <w:tc>
                <w:tcPr>
                  <w:tcW w:w="2176" w:type="dxa"/>
                  <w:tcBorders>
                    <w:tl2br w:val="nil"/>
                    <w:tr2bl w:val="nil"/>
                  </w:tcBorders>
                  <w:noWrap w:val="0"/>
                  <w:vAlign w:val="top"/>
                </w:tcPr>
                <w:p w14:paraId="3AA16E64">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塘湾村</w:t>
                  </w:r>
                </w:p>
              </w:tc>
              <w:tc>
                <w:tcPr>
                  <w:tcW w:w="931" w:type="dxa"/>
                  <w:tcBorders>
                    <w:tl2br w:val="nil"/>
                    <w:tr2bl w:val="nil"/>
                  </w:tcBorders>
                  <w:noWrap w:val="0"/>
                  <w:vAlign w:val="center"/>
                </w:tcPr>
                <w:p w14:paraId="3A27EE2D">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54</w:t>
                  </w:r>
                </w:p>
              </w:tc>
              <w:tc>
                <w:tcPr>
                  <w:tcW w:w="931" w:type="dxa"/>
                  <w:tcBorders>
                    <w:tl2br w:val="nil"/>
                    <w:tr2bl w:val="nil"/>
                  </w:tcBorders>
                  <w:noWrap w:val="0"/>
                  <w:vAlign w:val="center"/>
                </w:tcPr>
                <w:p w14:paraId="28146C76">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47</w:t>
                  </w:r>
                </w:p>
              </w:tc>
              <w:tc>
                <w:tcPr>
                  <w:tcW w:w="931" w:type="dxa"/>
                  <w:tcBorders>
                    <w:tl2br w:val="nil"/>
                    <w:tr2bl w:val="nil"/>
                  </w:tcBorders>
                  <w:noWrap w:val="0"/>
                  <w:vAlign w:val="center"/>
                </w:tcPr>
                <w:p w14:paraId="27EED14D">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932" w:type="dxa"/>
                  <w:tcBorders>
                    <w:tl2br w:val="nil"/>
                    <w:tr2bl w:val="nil"/>
                  </w:tcBorders>
                  <w:noWrap w:val="0"/>
                  <w:vAlign w:val="center"/>
                </w:tcPr>
                <w:p w14:paraId="74F005A4">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r>
            <w:tr w14:paraId="3E5A0B0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252" w:type="pct"/>
                  <w:vMerge w:val="continue"/>
                  <w:tcBorders>
                    <w:tl2br w:val="nil"/>
                    <w:tr2bl w:val="nil"/>
                  </w:tcBorders>
                  <w:noWrap w:val="0"/>
                  <w:vAlign w:val="center"/>
                </w:tcPr>
                <w:p w14:paraId="36AEC7D0">
                  <w:pPr>
                    <w:adjustRightInd w:val="0"/>
                    <w:snapToGrid w:val="0"/>
                    <w:spacing w:line="360" w:lineRule="atLeast"/>
                    <w:ind w:firstLine="0" w:firstLineChars="0"/>
                    <w:jc w:val="center"/>
                    <w:rPr>
                      <w:rFonts w:hint="eastAsia" w:ascii="Times New Roman" w:hAnsi="Times New Roman" w:eastAsia="宋体" w:cs="Times New Roman"/>
                      <w:color w:val="auto"/>
                      <w:sz w:val="21"/>
                      <w:szCs w:val="21"/>
                    </w:rPr>
                  </w:pPr>
                </w:p>
              </w:tc>
              <w:tc>
                <w:tcPr>
                  <w:tcW w:w="494" w:type="pct"/>
                  <w:tcBorders>
                    <w:tl2br w:val="nil"/>
                    <w:tr2bl w:val="nil"/>
                  </w:tcBorders>
                  <w:noWrap w:val="0"/>
                  <w:vAlign w:val="center"/>
                </w:tcPr>
                <w:p w14:paraId="3551665B">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N7#</w:t>
                  </w:r>
                </w:p>
              </w:tc>
              <w:tc>
                <w:tcPr>
                  <w:tcW w:w="2176" w:type="dxa"/>
                  <w:tcBorders>
                    <w:tl2br w:val="nil"/>
                    <w:tr2bl w:val="nil"/>
                  </w:tcBorders>
                  <w:noWrap w:val="0"/>
                  <w:vAlign w:val="top"/>
                </w:tcPr>
                <w:p w14:paraId="1FA195C7">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佛坪县气象局</w:t>
                  </w:r>
                </w:p>
              </w:tc>
              <w:tc>
                <w:tcPr>
                  <w:tcW w:w="931" w:type="dxa"/>
                  <w:tcBorders>
                    <w:tl2br w:val="nil"/>
                    <w:tr2bl w:val="nil"/>
                  </w:tcBorders>
                  <w:noWrap w:val="0"/>
                  <w:vAlign w:val="center"/>
                </w:tcPr>
                <w:p w14:paraId="455DFF1A">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55</w:t>
                  </w:r>
                </w:p>
              </w:tc>
              <w:tc>
                <w:tcPr>
                  <w:tcW w:w="931" w:type="dxa"/>
                  <w:tcBorders>
                    <w:tl2br w:val="nil"/>
                    <w:tr2bl w:val="nil"/>
                  </w:tcBorders>
                  <w:noWrap w:val="0"/>
                  <w:vAlign w:val="center"/>
                </w:tcPr>
                <w:p w14:paraId="321F5B7D">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45</w:t>
                  </w:r>
                </w:p>
              </w:tc>
              <w:tc>
                <w:tcPr>
                  <w:tcW w:w="931" w:type="dxa"/>
                  <w:tcBorders>
                    <w:tl2br w:val="nil"/>
                    <w:tr2bl w:val="nil"/>
                  </w:tcBorders>
                  <w:noWrap w:val="0"/>
                  <w:vAlign w:val="center"/>
                </w:tcPr>
                <w:p w14:paraId="4780FC65">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932" w:type="dxa"/>
                  <w:tcBorders>
                    <w:tl2br w:val="nil"/>
                    <w:tr2bl w:val="nil"/>
                  </w:tcBorders>
                  <w:noWrap w:val="0"/>
                  <w:vAlign w:val="center"/>
                </w:tcPr>
                <w:p w14:paraId="6A956F3A">
                  <w:pPr>
                    <w:adjustRightInd w:val="0"/>
                    <w:snapToGrid w:val="0"/>
                    <w:spacing w:line="360" w:lineRule="atLeast"/>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r>
          </w:tbl>
          <w:p w14:paraId="7B223CE8">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由监测结果可知，项目噪声敏感点昼、夜间噪声监测值均满足《声环境质量标准》（GB3096-2008）中</w:t>
            </w:r>
            <w:r>
              <w:rPr>
                <w:rFonts w:hint="eastAsia" w:cs="Times New Roman"/>
                <w:b w:val="0"/>
                <w:bCs w:val="0"/>
                <w:color w:val="auto"/>
                <w:sz w:val="24"/>
                <w:highlight w:val="none"/>
                <w:lang w:val="en-US" w:eastAsia="zh-CN"/>
              </w:rPr>
              <w:t>2</w:t>
            </w:r>
            <w:r>
              <w:rPr>
                <w:rFonts w:hint="eastAsia" w:ascii="Times New Roman" w:hAnsi="Times New Roman" w:eastAsia="宋体" w:cs="Times New Roman"/>
                <w:b w:val="0"/>
                <w:bCs w:val="0"/>
                <w:color w:val="auto"/>
                <w:sz w:val="24"/>
                <w:highlight w:val="none"/>
                <w:lang w:val="en-US" w:eastAsia="zh-CN"/>
              </w:rPr>
              <w:t>类标准要求，厂界四周昼、夜间噪声监测值均满足《工业企业厂界环境噪声排放标准》（GB12348-2008）中</w:t>
            </w:r>
            <w:r>
              <w:rPr>
                <w:rFonts w:hint="eastAsia" w:cs="Times New Roman"/>
                <w:b w:val="0"/>
                <w:bCs w:val="0"/>
                <w:color w:val="auto"/>
                <w:sz w:val="24"/>
                <w:highlight w:val="none"/>
                <w:lang w:val="en-US" w:eastAsia="zh-CN"/>
              </w:rPr>
              <w:t>2</w:t>
            </w:r>
            <w:r>
              <w:rPr>
                <w:rFonts w:hint="eastAsia" w:ascii="Times New Roman" w:hAnsi="Times New Roman" w:eastAsia="宋体" w:cs="Times New Roman"/>
                <w:b w:val="0"/>
                <w:bCs w:val="0"/>
                <w:color w:val="auto"/>
                <w:sz w:val="24"/>
                <w:highlight w:val="none"/>
                <w:lang w:val="en-US" w:eastAsia="zh-CN"/>
              </w:rPr>
              <w:t>类标准要求。</w:t>
            </w:r>
          </w:p>
          <w:p w14:paraId="4337FB32">
            <w:pPr>
              <w:pageBreakBefore w:val="0"/>
              <w:widowControl w:val="0"/>
              <w:kinsoku/>
              <w:wordWrap/>
              <w:overflowPunct/>
              <w:topLinePunct w:val="0"/>
              <w:bidi w:val="0"/>
              <w:adjustRightInd w:val="0"/>
              <w:snapToGrid w:val="0"/>
              <w:spacing w:line="360" w:lineRule="auto"/>
              <w:textAlignment w:val="auto"/>
              <w:rPr>
                <w:rFonts w:hint="eastAsia" w:ascii="Times New Roman" w:hAnsi="Times New Roman" w:eastAsia="宋体"/>
                <w:b/>
                <w:bCs/>
                <w:color w:val="auto"/>
                <w:sz w:val="24"/>
                <w:szCs w:val="24"/>
                <w:highlight w:val="none"/>
              </w:rPr>
            </w:pPr>
            <w:r>
              <w:rPr>
                <w:rFonts w:hint="eastAsia" w:ascii="Times New Roman" w:hAnsi="Times New Roman" w:eastAsia="宋体"/>
                <w:b/>
                <w:bCs/>
                <w:color w:val="auto"/>
                <w:sz w:val="24"/>
                <w:szCs w:val="24"/>
                <w:highlight w:val="none"/>
                <w:lang w:val="en-US" w:eastAsia="zh-CN"/>
              </w:rPr>
              <w:t>3.3</w:t>
            </w:r>
            <w:r>
              <w:rPr>
                <w:rFonts w:hint="eastAsia" w:ascii="Times New Roman" w:hAnsi="Times New Roman" w:eastAsia="宋体"/>
                <w:b/>
                <w:bCs/>
                <w:color w:val="auto"/>
                <w:sz w:val="24"/>
                <w:szCs w:val="24"/>
                <w:highlight w:val="none"/>
              </w:rPr>
              <w:t>地表水质量现状</w:t>
            </w:r>
          </w:p>
          <w:p w14:paraId="3E6A09BA">
            <w:pPr>
              <w:keepNext/>
              <w:keepLines/>
              <w:spacing w:line="360" w:lineRule="auto"/>
              <w:ind w:firstLine="480" w:firstLineChars="200"/>
              <w:rPr>
                <w:rFonts w:hint="eastAsia" w:ascii="Times New Roman" w:hAnsi="Times New Roman" w:eastAsia="宋体"/>
                <w:color w:val="FF0000"/>
                <w:sz w:val="24"/>
                <w:szCs w:val="24"/>
                <w:highlight w:val="yellow"/>
              </w:rPr>
            </w:pPr>
            <w:r>
              <w:rPr>
                <w:rFonts w:hint="eastAsia" w:ascii="Times New Roman" w:hAnsi="Times New Roman" w:eastAsia="宋体"/>
                <w:color w:val="FF0000"/>
                <w:sz w:val="24"/>
                <w:szCs w:val="24"/>
                <w:highlight w:val="none"/>
              </w:rPr>
              <w:t>据《建设项目环境影响报告表编制技术指南污染影响类(试行)》</w:t>
            </w:r>
            <w:r>
              <w:rPr>
                <w:rFonts w:hint="eastAsia"/>
                <w:color w:val="FF0000"/>
                <w:sz w:val="24"/>
                <w:szCs w:val="24"/>
                <w:highlight w:val="none"/>
                <w:lang w:eastAsia="zh-CN"/>
              </w:rPr>
              <w:t>：</w:t>
            </w:r>
            <w:r>
              <w:rPr>
                <w:rFonts w:hint="eastAsia" w:ascii="Times New Roman" w:hAnsi="Times New Roman" w:eastAsia="宋体"/>
                <w:color w:val="FF0000"/>
                <w:sz w:val="24"/>
                <w:szCs w:val="24"/>
                <w:highlight w:val="none"/>
              </w:rPr>
              <w:t>地表水环境。引用与建设项目距离近的有效数据，包括近3年的规划环境影响评价的监测数据，所在流域控制单元内国家、地方控制断面监测数据，生态环境主管部门发布的水环境质量数据或地表水达标情况的结论。</w:t>
            </w:r>
            <w:r>
              <w:rPr>
                <w:rFonts w:hint="eastAsia"/>
                <w:color w:val="FF0000"/>
                <w:sz w:val="24"/>
                <w:szCs w:val="24"/>
                <w:highlight w:val="none"/>
                <w:lang w:eastAsia="zh-CN"/>
              </w:rPr>
              <w:t>本</w:t>
            </w:r>
            <w:r>
              <w:rPr>
                <w:rFonts w:hint="eastAsia" w:ascii="Times New Roman" w:hAnsi="Times New Roman" w:eastAsia="宋体"/>
                <w:color w:val="FF0000"/>
                <w:sz w:val="24"/>
                <w:szCs w:val="24"/>
                <w:highlight w:val="none"/>
              </w:rPr>
              <w:t>项目</w:t>
            </w:r>
            <w:r>
              <w:rPr>
                <w:rFonts w:hint="eastAsia"/>
                <w:color w:val="FF0000"/>
                <w:sz w:val="24"/>
                <w:szCs w:val="24"/>
                <w:highlight w:val="none"/>
                <w:lang w:eastAsia="zh-CN"/>
              </w:rPr>
              <w:t>紧邻椒溪河，</w:t>
            </w:r>
            <w:r>
              <w:rPr>
                <w:rFonts w:hint="eastAsia" w:ascii="Times New Roman" w:hAnsi="Times New Roman" w:eastAsia="宋体"/>
                <w:color w:val="FF0000"/>
                <w:sz w:val="24"/>
                <w:szCs w:val="24"/>
                <w:highlight w:val="none"/>
              </w:rPr>
              <w:t>根据</w:t>
            </w:r>
            <w:r>
              <w:rPr>
                <w:color w:val="FF0000"/>
                <w:sz w:val="24"/>
                <w:highlight w:val="none"/>
              </w:rPr>
              <w:t>202</w:t>
            </w:r>
            <w:r>
              <w:rPr>
                <w:rFonts w:hint="eastAsia"/>
                <w:color w:val="FF0000"/>
                <w:sz w:val="24"/>
                <w:highlight w:val="none"/>
                <w:lang w:val="en-US" w:eastAsia="zh-CN"/>
              </w:rPr>
              <w:t>6</w:t>
            </w:r>
            <w:r>
              <w:rPr>
                <w:color w:val="FF0000"/>
                <w:sz w:val="24"/>
                <w:highlight w:val="none"/>
              </w:rPr>
              <w:t>年</w:t>
            </w:r>
            <w:r>
              <w:rPr>
                <w:rFonts w:hint="eastAsia"/>
                <w:color w:val="FF0000"/>
                <w:sz w:val="24"/>
                <w:highlight w:val="none"/>
                <w:lang w:val="en-US" w:eastAsia="zh-CN"/>
              </w:rPr>
              <w:t>6</w:t>
            </w:r>
            <w:r>
              <w:rPr>
                <w:color w:val="FF0000"/>
                <w:sz w:val="24"/>
                <w:highlight w:val="none"/>
              </w:rPr>
              <w:t>月</w:t>
            </w:r>
            <w:r>
              <w:rPr>
                <w:rFonts w:hint="eastAsia"/>
                <w:color w:val="FF0000"/>
                <w:sz w:val="24"/>
                <w:highlight w:val="none"/>
                <w:lang w:val="en-US" w:eastAsia="zh-CN"/>
              </w:rPr>
              <w:t>28</w:t>
            </w:r>
            <w:r>
              <w:rPr>
                <w:color w:val="FF0000"/>
                <w:sz w:val="24"/>
                <w:highlight w:val="none"/>
              </w:rPr>
              <w:t>日</w:t>
            </w:r>
            <w:r>
              <w:rPr>
                <w:rFonts w:hint="eastAsia"/>
                <w:color w:val="FF0000"/>
                <w:sz w:val="24"/>
                <w:highlight w:val="none"/>
                <w:lang w:eastAsia="zh-CN"/>
              </w:rPr>
              <w:t>汉中市</w:t>
            </w:r>
            <w:r>
              <w:rPr>
                <w:color w:val="FF0000"/>
                <w:sz w:val="24"/>
                <w:highlight w:val="none"/>
              </w:rPr>
              <w:t>生态环境</w:t>
            </w:r>
            <w:r>
              <w:rPr>
                <w:rFonts w:hint="eastAsia"/>
                <w:color w:val="FF0000"/>
                <w:sz w:val="24"/>
                <w:highlight w:val="none"/>
                <w:lang w:eastAsia="zh-CN"/>
              </w:rPr>
              <w:t>局</w:t>
            </w:r>
            <w:r>
              <w:rPr>
                <w:color w:val="FF0000"/>
                <w:sz w:val="24"/>
                <w:highlight w:val="none"/>
              </w:rPr>
              <w:t>发布的《</w:t>
            </w:r>
            <w:r>
              <w:rPr>
                <w:rFonts w:hint="eastAsia"/>
                <w:color w:val="FF0000"/>
                <w:sz w:val="24"/>
                <w:highlight w:val="none"/>
                <w:lang w:eastAsia="zh-CN"/>
              </w:rPr>
              <w:t>汉中市环境质量通报》</w:t>
            </w:r>
            <w:r>
              <w:rPr>
                <w:rFonts w:hint="eastAsia"/>
                <w:color w:val="FF0000"/>
                <w:sz w:val="24"/>
                <w:highlight w:val="none"/>
                <w:lang w:val="en-US" w:eastAsia="zh-CN"/>
              </w:rPr>
              <w:t>2026年第4期（总第231期）表13</w:t>
            </w:r>
            <w:r>
              <w:rPr>
                <w:rFonts w:hint="eastAsia" w:ascii="Times New Roman" w:hAnsi="Times New Roman" w:eastAsia="宋体"/>
                <w:color w:val="FF0000"/>
                <w:sz w:val="24"/>
                <w:szCs w:val="24"/>
                <w:highlight w:val="none"/>
              </w:rPr>
              <w:t>，</w:t>
            </w:r>
            <w:r>
              <w:rPr>
                <w:rFonts w:hint="eastAsia"/>
                <w:color w:val="FF0000"/>
                <w:sz w:val="24"/>
                <w:szCs w:val="24"/>
                <w:highlight w:val="none"/>
                <w:lang w:eastAsia="zh-CN"/>
              </w:rPr>
              <w:t>椒溪河</w:t>
            </w:r>
            <w:r>
              <w:rPr>
                <w:rFonts w:hint="eastAsia" w:ascii="Times New Roman" w:hAnsi="Times New Roman" w:eastAsia="宋体"/>
                <w:color w:val="FF0000"/>
                <w:sz w:val="24"/>
                <w:szCs w:val="24"/>
                <w:highlight w:val="none"/>
              </w:rPr>
              <w:t>环境质量评价结果见下表。</w:t>
            </w:r>
          </w:p>
          <w:p w14:paraId="026D730B">
            <w:pPr>
              <w:keepNext/>
              <w:keepLines/>
              <w:spacing w:line="360" w:lineRule="auto"/>
              <w:ind w:firstLine="422" w:firstLineChars="200"/>
              <w:jc w:val="center"/>
              <w:rPr>
                <w:rFonts w:hint="eastAsia" w:ascii="Times New Roman" w:hAnsi="Times New Roman" w:eastAsia="宋体"/>
                <w:color w:val="FF0000"/>
                <w:sz w:val="24"/>
                <w:szCs w:val="24"/>
                <w:highlight w:val="none"/>
                <w:vertAlign w:val="baseline"/>
              </w:rPr>
            </w:pPr>
            <w:r>
              <w:rPr>
                <w:rFonts w:hint="eastAsia" w:ascii="Times New Roman" w:hAnsi="Times New Roman" w:eastAsia="宋体" w:cs="Times New Roman"/>
                <w:b/>
                <w:color w:val="FF0000"/>
                <w:sz w:val="21"/>
                <w:szCs w:val="21"/>
                <w:highlight w:val="none"/>
                <w:lang w:val="en-US" w:eastAsia="zh-CN"/>
              </w:rPr>
              <w:t>表3-</w:t>
            </w:r>
            <w:r>
              <w:rPr>
                <w:rFonts w:hint="eastAsia" w:cs="Times New Roman"/>
                <w:b/>
                <w:color w:val="FF0000"/>
                <w:sz w:val="21"/>
                <w:szCs w:val="21"/>
                <w:highlight w:val="none"/>
                <w:lang w:val="en-US" w:eastAsia="zh-CN"/>
              </w:rPr>
              <w:t>3</w:t>
            </w:r>
            <w:r>
              <w:rPr>
                <w:rFonts w:hint="eastAsia" w:ascii="Times New Roman" w:hAnsi="Times New Roman" w:eastAsia="宋体" w:cs="Times New Roman"/>
                <w:b/>
                <w:color w:val="FF0000"/>
                <w:sz w:val="21"/>
                <w:szCs w:val="21"/>
                <w:highlight w:val="none"/>
                <w:lang w:val="en-US" w:eastAsia="zh-CN"/>
              </w:rPr>
              <w:t xml:space="preserve"> </w:t>
            </w:r>
            <w:r>
              <w:rPr>
                <w:rFonts w:hint="eastAsia" w:cs="Times New Roman"/>
                <w:b/>
                <w:color w:val="FF0000"/>
                <w:sz w:val="21"/>
                <w:szCs w:val="21"/>
                <w:highlight w:val="none"/>
                <w:lang w:val="en-US" w:eastAsia="zh-CN"/>
              </w:rPr>
              <w:t>地表水</w:t>
            </w:r>
            <w:r>
              <w:rPr>
                <w:rFonts w:hint="eastAsia" w:ascii="Times New Roman" w:hAnsi="Times New Roman" w:eastAsia="宋体" w:cs="Times New Roman"/>
                <w:b/>
                <w:color w:val="FF0000"/>
                <w:sz w:val="21"/>
                <w:szCs w:val="21"/>
                <w:highlight w:val="none"/>
                <w:lang w:val="en-US" w:eastAsia="zh-CN"/>
              </w:rPr>
              <w:t>环境质量</w:t>
            </w:r>
            <w:r>
              <w:rPr>
                <w:rFonts w:hint="eastAsia" w:cs="Times New Roman"/>
                <w:b/>
                <w:color w:val="FF0000"/>
                <w:sz w:val="21"/>
                <w:szCs w:val="21"/>
                <w:highlight w:val="none"/>
                <w:lang w:val="en-US" w:eastAsia="zh-CN"/>
              </w:rPr>
              <w:t>评价</w:t>
            </w:r>
            <w:r>
              <w:rPr>
                <w:rFonts w:hint="eastAsia" w:ascii="Times New Roman" w:hAnsi="Times New Roman" w:eastAsia="宋体" w:cs="Times New Roman"/>
                <w:b/>
                <w:color w:val="FF0000"/>
                <w:sz w:val="21"/>
                <w:szCs w:val="21"/>
                <w:highlight w:val="none"/>
                <w:lang w:val="en-US" w:eastAsia="zh-CN"/>
              </w:rPr>
              <w:t>结果</w:t>
            </w:r>
            <w:r>
              <w:rPr>
                <w:rFonts w:hint="eastAsia" w:cs="Times New Roman"/>
                <w:b/>
                <w:color w:val="FF0000"/>
                <w:sz w:val="21"/>
                <w:szCs w:val="21"/>
                <w:highlight w:val="none"/>
                <w:lang w:val="en-US" w:eastAsia="zh-CN"/>
              </w:rPr>
              <w:t>（节选）</w:t>
            </w:r>
          </w:p>
          <w:tbl>
            <w:tblPr>
              <w:tblStyle w:val="26"/>
              <w:tblW w:w="4997" w:type="pct"/>
              <w:tblInd w:w="-1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240"/>
              <w:gridCol w:w="1343"/>
              <w:gridCol w:w="1530"/>
              <w:gridCol w:w="1900"/>
              <w:gridCol w:w="1528"/>
              <w:gridCol w:w="1529"/>
            </w:tblGrid>
            <w:tr w14:paraId="3D60865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c>
                <w:tcPr>
                  <w:tcW w:w="683" w:type="pct"/>
                  <w:tcBorders>
                    <w:tl2br w:val="nil"/>
                    <w:tr2bl w:val="nil"/>
                  </w:tcBorders>
                </w:tcPr>
                <w:p w14:paraId="106A4422">
                  <w:pPr>
                    <w:adjustRightInd w:val="0"/>
                    <w:snapToGrid w:val="0"/>
                    <w:spacing w:line="360" w:lineRule="atLeast"/>
                    <w:ind w:firstLine="0" w:firstLineChars="0"/>
                    <w:jc w:val="center"/>
                    <w:rPr>
                      <w:rFonts w:hint="eastAsia"/>
                      <w:b/>
                      <w:bCs/>
                      <w:color w:val="FF0000"/>
                      <w:sz w:val="21"/>
                      <w:szCs w:val="21"/>
                      <w:lang w:eastAsia="zh-CN"/>
                    </w:rPr>
                  </w:pPr>
                  <w:r>
                    <w:rPr>
                      <w:rFonts w:hint="eastAsia"/>
                      <w:b/>
                      <w:bCs/>
                      <w:color w:val="FF0000"/>
                      <w:sz w:val="21"/>
                      <w:szCs w:val="21"/>
                      <w:lang w:eastAsia="zh-CN"/>
                    </w:rPr>
                    <w:t>区域</w:t>
                  </w:r>
                </w:p>
              </w:tc>
              <w:tc>
                <w:tcPr>
                  <w:tcW w:w="740" w:type="pct"/>
                  <w:tcBorders>
                    <w:tl2br w:val="nil"/>
                    <w:tr2bl w:val="nil"/>
                  </w:tcBorders>
                </w:tcPr>
                <w:p w14:paraId="08B38B3A">
                  <w:pPr>
                    <w:adjustRightInd w:val="0"/>
                    <w:snapToGrid w:val="0"/>
                    <w:spacing w:line="360" w:lineRule="atLeast"/>
                    <w:ind w:firstLine="0" w:firstLineChars="0"/>
                    <w:jc w:val="center"/>
                    <w:rPr>
                      <w:rFonts w:hint="eastAsia"/>
                      <w:b/>
                      <w:bCs/>
                      <w:color w:val="FF0000"/>
                      <w:sz w:val="21"/>
                      <w:szCs w:val="21"/>
                      <w:lang w:eastAsia="zh-CN"/>
                    </w:rPr>
                  </w:pPr>
                  <w:r>
                    <w:rPr>
                      <w:rFonts w:hint="eastAsia"/>
                      <w:b/>
                      <w:bCs/>
                      <w:color w:val="FF0000"/>
                      <w:sz w:val="21"/>
                      <w:szCs w:val="21"/>
                      <w:lang w:eastAsia="zh-CN"/>
                    </w:rPr>
                    <w:t>河流</w:t>
                  </w:r>
                </w:p>
              </w:tc>
              <w:tc>
                <w:tcPr>
                  <w:tcW w:w="843" w:type="pct"/>
                  <w:tcBorders>
                    <w:tl2br w:val="nil"/>
                    <w:tr2bl w:val="nil"/>
                  </w:tcBorders>
                </w:tcPr>
                <w:p w14:paraId="4F106B96">
                  <w:pPr>
                    <w:adjustRightInd w:val="0"/>
                    <w:snapToGrid w:val="0"/>
                    <w:spacing w:line="360" w:lineRule="atLeast"/>
                    <w:ind w:firstLine="0" w:firstLineChars="0"/>
                    <w:jc w:val="center"/>
                    <w:rPr>
                      <w:rFonts w:hint="eastAsia"/>
                      <w:b/>
                      <w:bCs/>
                      <w:color w:val="FF0000"/>
                      <w:sz w:val="21"/>
                      <w:szCs w:val="21"/>
                      <w:lang w:eastAsia="zh-CN"/>
                    </w:rPr>
                  </w:pPr>
                  <w:r>
                    <w:rPr>
                      <w:rFonts w:hint="eastAsia"/>
                      <w:b/>
                      <w:bCs/>
                      <w:color w:val="FF0000"/>
                      <w:sz w:val="21"/>
                      <w:szCs w:val="21"/>
                      <w:lang w:eastAsia="zh-CN"/>
                    </w:rPr>
                    <w:t>断面名称</w:t>
                  </w:r>
                </w:p>
              </w:tc>
              <w:tc>
                <w:tcPr>
                  <w:tcW w:w="1047" w:type="pct"/>
                  <w:tcBorders>
                    <w:tl2br w:val="nil"/>
                    <w:tr2bl w:val="nil"/>
                  </w:tcBorders>
                </w:tcPr>
                <w:p w14:paraId="4D16C751">
                  <w:pPr>
                    <w:adjustRightInd w:val="0"/>
                    <w:snapToGrid w:val="0"/>
                    <w:spacing w:line="360" w:lineRule="atLeast"/>
                    <w:ind w:firstLine="0" w:firstLineChars="0"/>
                    <w:jc w:val="center"/>
                    <w:rPr>
                      <w:rFonts w:hint="eastAsia"/>
                      <w:b/>
                      <w:bCs/>
                      <w:color w:val="FF0000"/>
                      <w:sz w:val="21"/>
                      <w:szCs w:val="21"/>
                      <w:lang w:eastAsia="zh-CN"/>
                    </w:rPr>
                  </w:pPr>
                  <w:r>
                    <w:rPr>
                      <w:rFonts w:hint="eastAsia"/>
                      <w:b/>
                      <w:bCs/>
                      <w:color w:val="FF0000"/>
                      <w:sz w:val="21"/>
                      <w:szCs w:val="21"/>
                      <w:lang w:eastAsia="zh-CN"/>
                    </w:rPr>
                    <w:t>所在地区</w:t>
                  </w:r>
                </w:p>
              </w:tc>
              <w:tc>
                <w:tcPr>
                  <w:tcW w:w="842" w:type="pct"/>
                  <w:tcBorders>
                    <w:tl2br w:val="nil"/>
                    <w:tr2bl w:val="nil"/>
                  </w:tcBorders>
                </w:tcPr>
                <w:p w14:paraId="76E2C239">
                  <w:pPr>
                    <w:adjustRightInd w:val="0"/>
                    <w:snapToGrid w:val="0"/>
                    <w:spacing w:line="360" w:lineRule="atLeast"/>
                    <w:ind w:firstLine="0" w:firstLineChars="0"/>
                    <w:jc w:val="center"/>
                    <w:rPr>
                      <w:rFonts w:hint="default"/>
                      <w:b/>
                      <w:bCs/>
                      <w:color w:val="FF0000"/>
                      <w:sz w:val="21"/>
                      <w:szCs w:val="21"/>
                      <w:lang w:val="en-US" w:eastAsia="zh-CN"/>
                    </w:rPr>
                  </w:pPr>
                  <w:r>
                    <w:rPr>
                      <w:rFonts w:hint="eastAsia"/>
                      <w:b/>
                      <w:bCs/>
                      <w:color w:val="FF0000"/>
                      <w:sz w:val="21"/>
                      <w:szCs w:val="21"/>
                      <w:lang w:val="en-US" w:eastAsia="zh-CN"/>
                    </w:rPr>
                    <w:t>2026年1~5月</w:t>
                  </w:r>
                </w:p>
              </w:tc>
              <w:tc>
                <w:tcPr>
                  <w:tcW w:w="842" w:type="pct"/>
                  <w:tcBorders>
                    <w:tl2br w:val="nil"/>
                    <w:tr2bl w:val="nil"/>
                  </w:tcBorders>
                </w:tcPr>
                <w:p w14:paraId="4258CE1D">
                  <w:pPr>
                    <w:adjustRightInd w:val="0"/>
                    <w:snapToGrid w:val="0"/>
                    <w:spacing w:line="360" w:lineRule="atLeast"/>
                    <w:ind w:firstLine="0" w:firstLineChars="0"/>
                    <w:jc w:val="center"/>
                    <w:rPr>
                      <w:rFonts w:hint="eastAsia"/>
                      <w:b/>
                      <w:bCs/>
                      <w:color w:val="FF0000"/>
                      <w:sz w:val="21"/>
                      <w:szCs w:val="21"/>
                      <w:lang w:val="en-US" w:eastAsia="zh-CN"/>
                    </w:rPr>
                  </w:pPr>
                  <w:r>
                    <w:rPr>
                      <w:rFonts w:hint="eastAsia"/>
                      <w:b/>
                      <w:bCs/>
                      <w:color w:val="FF0000"/>
                      <w:sz w:val="21"/>
                      <w:szCs w:val="21"/>
                      <w:lang w:val="en-US" w:eastAsia="zh-CN"/>
                    </w:rPr>
                    <w:t>2025年1~5月</w:t>
                  </w:r>
                </w:p>
              </w:tc>
            </w:tr>
            <w:tr w14:paraId="2FE30B5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683" w:type="pct"/>
                  <w:tcBorders>
                    <w:tl2br w:val="nil"/>
                    <w:tr2bl w:val="nil"/>
                  </w:tcBorders>
                </w:tcPr>
                <w:p w14:paraId="641EA96B">
                  <w:pPr>
                    <w:adjustRightInd w:val="0"/>
                    <w:snapToGrid w:val="0"/>
                    <w:spacing w:line="360" w:lineRule="atLeast"/>
                    <w:ind w:firstLine="0" w:firstLineChars="0"/>
                    <w:jc w:val="center"/>
                    <w:rPr>
                      <w:rFonts w:hint="eastAsia" w:eastAsia="宋体"/>
                      <w:b w:val="0"/>
                      <w:bCs w:val="0"/>
                      <w:color w:val="FF0000"/>
                      <w:sz w:val="21"/>
                      <w:szCs w:val="21"/>
                      <w:lang w:eastAsia="zh-CN"/>
                    </w:rPr>
                  </w:pPr>
                  <w:r>
                    <w:rPr>
                      <w:rFonts w:hint="eastAsia"/>
                      <w:b w:val="0"/>
                      <w:bCs w:val="0"/>
                      <w:color w:val="FF0000"/>
                      <w:sz w:val="21"/>
                      <w:szCs w:val="21"/>
                      <w:lang w:eastAsia="zh-CN"/>
                    </w:rPr>
                    <w:t>汉江流域</w:t>
                  </w:r>
                </w:p>
              </w:tc>
              <w:tc>
                <w:tcPr>
                  <w:tcW w:w="740" w:type="pct"/>
                  <w:tcBorders>
                    <w:tl2br w:val="nil"/>
                    <w:tr2bl w:val="nil"/>
                  </w:tcBorders>
                </w:tcPr>
                <w:p w14:paraId="4C486D34">
                  <w:pPr>
                    <w:adjustRightInd w:val="0"/>
                    <w:snapToGrid w:val="0"/>
                    <w:spacing w:line="360" w:lineRule="atLeast"/>
                    <w:ind w:firstLine="0" w:firstLineChars="0"/>
                    <w:jc w:val="center"/>
                    <w:rPr>
                      <w:rFonts w:hint="eastAsia" w:eastAsia="宋体"/>
                      <w:b w:val="0"/>
                      <w:bCs w:val="0"/>
                      <w:color w:val="FF0000"/>
                      <w:sz w:val="21"/>
                      <w:szCs w:val="21"/>
                      <w:lang w:eastAsia="zh-CN"/>
                    </w:rPr>
                  </w:pPr>
                  <w:r>
                    <w:rPr>
                      <w:rFonts w:hint="eastAsia"/>
                      <w:b w:val="0"/>
                      <w:bCs w:val="0"/>
                      <w:color w:val="FF0000"/>
                      <w:sz w:val="21"/>
                      <w:szCs w:val="21"/>
                      <w:lang w:eastAsia="zh-CN"/>
                    </w:rPr>
                    <w:t>椒溪河</w:t>
                  </w:r>
                </w:p>
              </w:tc>
              <w:tc>
                <w:tcPr>
                  <w:tcW w:w="843" w:type="pct"/>
                  <w:tcBorders>
                    <w:tl2br w:val="nil"/>
                    <w:tr2bl w:val="nil"/>
                  </w:tcBorders>
                </w:tcPr>
                <w:p w14:paraId="5E46EF6E">
                  <w:pPr>
                    <w:adjustRightInd w:val="0"/>
                    <w:snapToGrid w:val="0"/>
                    <w:spacing w:line="360" w:lineRule="atLeast"/>
                    <w:ind w:firstLine="0" w:firstLineChars="0"/>
                    <w:jc w:val="center"/>
                    <w:rPr>
                      <w:rFonts w:hint="eastAsia" w:eastAsia="宋体"/>
                      <w:b w:val="0"/>
                      <w:bCs w:val="0"/>
                      <w:color w:val="FF0000"/>
                      <w:sz w:val="21"/>
                      <w:szCs w:val="21"/>
                      <w:lang w:eastAsia="zh-CN"/>
                    </w:rPr>
                  </w:pPr>
                  <w:r>
                    <w:rPr>
                      <w:rFonts w:hint="eastAsia"/>
                      <w:b w:val="0"/>
                      <w:bCs w:val="0"/>
                      <w:color w:val="FF0000"/>
                      <w:sz w:val="21"/>
                      <w:szCs w:val="21"/>
                      <w:lang w:eastAsia="zh-CN"/>
                    </w:rPr>
                    <w:t>佛坪县城上游</w:t>
                  </w:r>
                </w:p>
              </w:tc>
              <w:tc>
                <w:tcPr>
                  <w:tcW w:w="1047" w:type="pct"/>
                  <w:tcBorders>
                    <w:tl2br w:val="nil"/>
                    <w:tr2bl w:val="nil"/>
                  </w:tcBorders>
                </w:tcPr>
                <w:p w14:paraId="6EA6ECCE">
                  <w:pPr>
                    <w:adjustRightInd w:val="0"/>
                    <w:snapToGrid w:val="0"/>
                    <w:spacing w:line="360" w:lineRule="atLeast"/>
                    <w:ind w:firstLine="0" w:firstLineChars="0"/>
                    <w:jc w:val="center"/>
                    <w:rPr>
                      <w:rFonts w:hint="eastAsia" w:eastAsia="宋体"/>
                      <w:b w:val="0"/>
                      <w:bCs w:val="0"/>
                      <w:color w:val="FF0000"/>
                      <w:sz w:val="21"/>
                      <w:szCs w:val="21"/>
                      <w:lang w:eastAsia="zh-CN"/>
                    </w:rPr>
                  </w:pPr>
                  <w:r>
                    <w:rPr>
                      <w:rFonts w:hint="eastAsia"/>
                      <w:b w:val="0"/>
                      <w:bCs w:val="0"/>
                      <w:color w:val="FF0000"/>
                      <w:sz w:val="21"/>
                      <w:szCs w:val="21"/>
                      <w:lang w:eastAsia="zh-CN"/>
                    </w:rPr>
                    <w:t>佛坪县</w:t>
                  </w:r>
                </w:p>
              </w:tc>
              <w:tc>
                <w:tcPr>
                  <w:tcW w:w="842" w:type="pct"/>
                  <w:tcBorders>
                    <w:tl2br w:val="nil"/>
                    <w:tr2bl w:val="nil"/>
                  </w:tcBorders>
                </w:tcPr>
                <w:p w14:paraId="17C740EC">
                  <w:pPr>
                    <w:adjustRightInd w:val="0"/>
                    <w:snapToGrid w:val="0"/>
                    <w:spacing w:line="360" w:lineRule="atLeast"/>
                    <w:ind w:firstLine="0" w:firstLineChars="0"/>
                    <w:jc w:val="center"/>
                    <w:rPr>
                      <w:rFonts w:hint="eastAsia"/>
                      <w:b w:val="0"/>
                      <w:bCs w:val="0"/>
                      <w:color w:val="FF0000"/>
                      <w:sz w:val="21"/>
                      <w:szCs w:val="21"/>
                    </w:rPr>
                  </w:pPr>
                  <w:r>
                    <w:rPr>
                      <w:rFonts w:hint="default"/>
                      <w:color w:val="FF0000"/>
                      <w:sz w:val="21"/>
                      <w:szCs w:val="21"/>
                    </w:rPr>
                    <w:t>Ⅱ</w:t>
                  </w:r>
                </w:p>
              </w:tc>
              <w:tc>
                <w:tcPr>
                  <w:tcW w:w="842" w:type="pct"/>
                  <w:tcBorders>
                    <w:tl2br w:val="nil"/>
                    <w:tr2bl w:val="nil"/>
                  </w:tcBorders>
                </w:tcPr>
                <w:p w14:paraId="4FBD4147">
                  <w:pPr>
                    <w:adjustRightInd w:val="0"/>
                    <w:snapToGrid w:val="0"/>
                    <w:spacing w:line="360" w:lineRule="atLeast"/>
                    <w:ind w:firstLine="0" w:firstLineChars="0"/>
                    <w:jc w:val="center"/>
                    <w:rPr>
                      <w:rFonts w:hint="default"/>
                      <w:color w:val="FF0000"/>
                      <w:sz w:val="21"/>
                      <w:szCs w:val="21"/>
                    </w:rPr>
                  </w:pPr>
                  <w:r>
                    <w:rPr>
                      <w:rFonts w:hint="default"/>
                      <w:color w:val="FF0000"/>
                      <w:sz w:val="21"/>
                      <w:szCs w:val="21"/>
                    </w:rPr>
                    <w:t>Ⅱ</w:t>
                  </w:r>
                </w:p>
              </w:tc>
            </w:tr>
            <w:tr w14:paraId="546CC48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1240" w:type="dxa"/>
                  <w:tcBorders>
                    <w:tl2br w:val="nil"/>
                    <w:tr2bl w:val="nil"/>
                  </w:tcBorders>
                  <w:vAlign w:val="top"/>
                </w:tcPr>
                <w:p w14:paraId="073453E8">
                  <w:pPr>
                    <w:adjustRightInd w:val="0"/>
                    <w:snapToGrid w:val="0"/>
                    <w:spacing w:line="360" w:lineRule="atLeast"/>
                    <w:ind w:firstLine="0" w:firstLineChars="0"/>
                    <w:jc w:val="center"/>
                    <w:rPr>
                      <w:rFonts w:hint="eastAsia"/>
                      <w:b w:val="0"/>
                      <w:bCs w:val="0"/>
                      <w:color w:val="FF0000"/>
                      <w:sz w:val="21"/>
                      <w:szCs w:val="21"/>
                      <w:lang w:eastAsia="zh-CN"/>
                    </w:rPr>
                  </w:pPr>
                  <w:r>
                    <w:rPr>
                      <w:rFonts w:hint="eastAsia"/>
                      <w:b w:val="0"/>
                      <w:bCs w:val="0"/>
                      <w:color w:val="FF0000"/>
                      <w:sz w:val="21"/>
                      <w:szCs w:val="21"/>
                      <w:lang w:eastAsia="zh-CN"/>
                    </w:rPr>
                    <w:t>汉江流域</w:t>
                  </w:r>
                </w:p>
              </w:tc>
              <w:tc>
                <w:tcPr>
                  <w:tcW w:w="1343" w:type="dxa"/>
                  <w:tcBorders>
                    <w:tl2br w:val="nil"/>
                    <w:tr2bl w:val="nil"/>
                  </w:tcBorders>
                  <w:vAlign w:val="top"/>
                </w:tcPr>
                <w:p w14:paraId="427C0189">
                  <w:pPr>
                    <w:adjustRightInd w:val="0"/>
                    <w:snapToGrid w:val="0"/>
                    <w:spacing w:line="360" w:lineRule="atLeast"/>
                    <w:ind w:firstLine="0" w:firstLineChars="0"/>
                    <w:jc w:val="center"/>
                    <w:rPr>
                      <w:rFonts w:hint="eastAsia"/>
                      <w:b w:val="0"/>
                      <w:bCs w:val="0"/>
                      <w:color w:val="FF0000"/>
                      <w:sz w:val="21"/>
                      <w:szCs w:val="21"/>
                      <w:lang w:eastAsia="zh-CN"/>
                    </w:rPr>
                  </w:pPr>
                  <w:r>
                    <w:rPr>
                      <w:rFonts w:hint="eastAsia"/>
                      <w:b w:val="0"/>
                      <w:bCs w:val="0"/>
                      <w:color w:val="FF0000"/>
                      <w:sz w:val="21"/>
                      <w:szCs w:val="21"/>
                      <w:lang w:eastAsia="zh-CN"/>
                    </w:rPr>
                    <w:t>椒溪河</w:t>
                  </w:r>
                </w:p>
              </w:tc>
              <w:tc>
                <w:tcPr>
                  <w:tcW w:w="1530" w:type="dxa"/>
                  <w:tcBorders>
                    <w:tl2br w:val="nil"/>
                    <w:tr2bl w:val="nil"/>
                  </w:tcBorders>
                  <w:vAlign w:val="top"/>
                </w:tcPr>
                <w:p w14:paraId="68602AD9">
                  <w:pPr>
                    <w:adjustRightInd w:val="0"/>
                    <w:snapToGrid w:val="0"/>
                    <w:spacing w:line="360" w:lineRule="atLeast"/>
                    <w:ind w:firstLine="0" w:firstLineChars="0"/>
                    <w:jc w:val="center"/>
                    <w:rPr>
                      <w:rFonts w:hint="eastAsia"/>
                      <w:b w:val="0"/>
                      <w:bCs w:val="0"/>
                      <w:color w:val="FF0000"/>
                      <w:sz w:val="21"/>
                      <w:szCs w:val="21"/>
                      <w:lang w:eastAsia="zh-CN"/>
                    </w:rPr>
                  </w:pPr>
                  <w:r>
                    <w:rPr>
                      <w:rFonts w:hint="eastAsia"/>
                      <w:b w:val="0"/>
                      <w:bCs w:val="0"/>
                      <w:color w:val="FF0000"/>
                      <w:sz w:val="21"/>
                      <w:szCs w:val="21"/>
                      <w:lang w:eastAsia="zh-CN"/>
                    </w:rPr>
                    <w:t>佛坪县城下游</w:t>
                  </w:r>
                </w:p>
              </w:tc>
              <w:tc>
                <w:tcPr>
                  <w:tcW w:w="1900" w:type="dxa"/>
                  <w:tcBorders>
                    <w:tl2br w:val="nil"/>
                    <w:tr2bl w:val="nil"/>
                  </w:tcBorders>
                  <w:vAlign w:val="top"/>
                </w:tcPr>
                <w:p w14:paraId="5994238D">
                  <w:pPr>
                    <w:adjustRightInd w:val="0"/>
                    <w:snapToGrid w:val="0"/>
                    <w:spacing w:line="360" w:lineRule="atLeast"/>
                    <w:ind w:firstLine="0" w:firstLineChars="0"/>
                    <w:jc w:val="center"/>
                    <w:rPr>
                      <w:rFonts w:hint="eastAsia"/>
                      <w:b w:val="0"/>
                      <w:bCs w:val="0"/>
                      <w:color w:val="FF0000"/>
                      <w:sz w:val="21"/>
                      <w:szCs w:val="21"/>
                      <w:lang w:eastAsia="zh-CN"/>
                    </w:rPr>
                  </w:pPr>
                  <w:r>
                    <w:rPr>
                      <w:rFonts w:hint="eastAsia"/>
                      <w:b w:val="0"/>
                      <w:bCs w:val="0"/>
                      <w:color w:val="FF0000"/>
                      <w:sz w:val="21"/>
                      <w:szCs w:val="21"/>
                      <w:lang w:eastAsia="zh-CN"/>
                    </w:rPr>
                    <w:t>佛坪县</w:t>
                  </w:r>
                </w:p>
              </w:tc>
              <w:tc>
                <w:tcPr>
                  <w:tcW w:w="1528" w:type="dxa"/>
                  <w:tcBorders>
                    <w:tl2br w:val="nil"/>
                    <w:tr2bl w:val="nil"/>
                  </w:tcBorders>
                  <w:vAlign w:val="top"/>
                </w:tcPr>
                <w:p w14:paraId="2F035DD4">
                  <w:pPr>
                    <w:adjustRightInd w:val="0"/>
                    <w:snapToGrid w:val="0"/>
                    <w:spacing w:line="360" w:lineRule="atLeast"/>
                    <w:ind w:firstLine="0" w:firstLineChars="0"/>
                    <w:jc w:val="center"/>
                    <w:rPr>
                      <w:rFonts w:hint="default"/>
                      <w:color w:val="FF0000"/>
                      <w:sz w:val="21"/>
                      <w:szCs w:val="21"/>
                    </w:rPr>
                  </w:pPr>
                  <w:r>
                    <w:rPr>
                      <w:rFonts w:hint="default"/>
                      <w:color w:val="FF0000"/>
                      <w:sz w:val="21"/>
                      <w:szCs w:val="21"/>
                    </w:rPr>
                    <w:t>Ⅱ</w:t>
                  </w:r>
                </w:p>
              </w:tc>
              <w:tc>
                <w:tcPr>
                  <w:tcW w:w="1529" w:type="dxa"/>
                  <w:tcBorders>
                    <w:tl2br w:val="nil"/>
                    <w:tr2bl w:val="nil"/>
                  </w:tcBorders>
                  <w:vAlign w:val="top"/>
                </w:tcPr>
                <w:p w14:paraId="12C1D3B7">
                  <w:pPr>
                    <w:adjustRightInd w:val="0"/>
                    <w:snapToGrid w:val="0"/>
                    <w:spacing w:line="360" w:lineRule="atLeast"/>
                    <w:ind w:firstLine="0" w:firstLineChars="0"/>
                    <w:jc w:val="center"/>
                    <w:rPr>
                      <w:rFonts w:hint="default"/>
                      <w:color w:val="FF0000"/>
                      <w:sz w:val="21"/>
                      <w:szCs w:val="21"/>
                    </w:rPr>
                  </w:pPr>
                  <w:r>
                    <w:rPr>
                      <w:rFonts w:hint="default"/>
                      <w:color w:val="FF0000"/>
                      <w:sz w:val="21"/>
                      <w:szCs w:val="21"/>
                    </w:rPr>
                    <w:t>Ⅱ</w:t>
                  </w:r>
                </w:p>
              </w:tc>
            </w:tr>
          </w:tbl>
          <w:p w14:paraId="60D1FC97">
            <w:pPr>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olor w:val="FF0000"/>
                <w:sz w:val="24"/>
                <w:szCs w:val="24"/>
                <w:highlight w:val="none"/>
              </w:rPr>
            </w:pPr>
            <w:r>
              <w:rPr>
                <w:rFonts w:hint="eastAsia" w:ascii="Times New Roman" w:hAnsi="Times New Roman" w:eastAsia="宋体"/>
                <w:color w:val="FF0000"/>
                <w:sz w:val="24"/>
                <w:szCs w:val="24"/>
                <w:highlight w:val="none"/>
              </w:rPr>
              <w:t>项目所在地地表水体水质能够稳定达到II类，水质状况良好。因此，项目所在地地表水属于达标区。</w:t>
            </w:r>
          </w:p>
          <w:p w14:paraId="2B14DDD5">
            <w:pPr>
              <w:pageBreakBefore w:val="0"/>
              <w:widowControl w:val="0"/>
              <w:kinsoku/>
              <w:wordWrap/>
              <w:overflowPunct/>
              <w:topLinePunct w:val="0"/>
              <w:bidi w:val="0"/>
              <w:adjustRightInd w:val="0"/>
              <w:snapToGrid w:val="0"/>
              <w:spacing w:line="360" w:lineRule="auto"/>
              <w:textAlignment w:val="auto"/>
              <w:rPr>
                <w:rFonts w:hint="default" w:ascii="Times New Roman" w:hAnsi="Times New Roman" w:eastAsia="宋体"/>
                <w:b/>
                <w:bCs/>
                <w:color w:val="auto"/>
                <w:sz w:val="24"/>
                <w:szCs w:val="24"/>
                <w:highlight w:val="none"/>
                <w:lang w:val="en-US" w:eastAsia="zh-CN"/>
              </w:rPr>
            </w:pPr>
            <w:r>
              <w:rPr>
                <w:rFonts w:hint="eastAsia" w:ascii="Times New Roman" w:hAnsi="Times New Roman" w:eastAsia="宋体"/>
                <w:b/>
                <w:bCs/>
                <w:color w:val="auto"/>
                <w:sz w:val="24"/>
                <w:szCs w:val="24"/>
                <w:highlight w:val="none"/>
                <w:lang w:val="en-US" w:eastAsia="zh-CN"/>
              </w:rPr>
              <w:t>3.4土壤、地下水环境质量现状</w:t>
            </w:r>
          </w:p>
          <w:p w14:paraId="70FBBA24">
            <w:pPr>
              <w:keepNext/>
              <w:keepLines/>
              <w:spacing w:line="360" w:lineRule="auto"/>
              <w:ind w:firstLine="480" w:firstLineChars="200"/>
              <w:rPr>
                <w:rFonts w:hint="eastAsia"/>
                <w:color w:val="auto"/>
                <w:sz w:val="24"/>
              </w:rPr>
            </w:pPr>
            <w:r>
              <w:rPr>
                <w:rFonts w:hint="default" w:ascii="Times New Roman" w:hAnsi="Times New Roman" w:eastAsia="宋体" w:cs="Times New Roman"/>
                <w:color w:val="auto"/>
                <w:sz w:val="24"/>
                <w:szCs w:val="24"/>
              </w:rPr>
              <w:t>根据</w:t>
            </w:r>
            <w:r>
              <w:rPr>
                <w:rFonts w:hint="default"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eastAsia="zh-CN"/>
              </w:rPr>
              <w:t>建设项目环境影响报告表编制技术指南</w:t>
            </w:r>
            <w:r>
              <w:rPr>
                <w:rFonts w:hint="eastAsia" w:ascii="Times New Roman" w:hAnsi="Times New Roman" w:eastAsia="宋体" w:cs="Times New Roman"/>
                <w:color w:val="auto"/>
                <w:sz w:val="24"/>
                <w:szCs w:val="24"/>
                <w:lang w:val="en-US" w:eastAsia="zh-CN"/>
              </w:rPr>
              <w:t>（污染影响类）（试行）</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2021年版</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eastAsia="zh-CN"/>
              </w:rPr>
              <w:t>中</w:t>
            </w:r>
            <w:r>
              <w:rPr>
                <w:rFonts w:hint="eastAsia" w:ascii="Times New Roman" w:hAnsi="Times New Roman" w:eastAsia="宋体" w:cs="Times New Roman"/>
                <w:color w:val="auto"/>
                <w:sz w:val="24"/>
                <w:szCs w:val="24"/>
                <w:lang w:val="en-US" w:eastAsia="zh-CN"/>
              </w:rPr>
              <w:t>编制要求</w:t>
            </w:r>
            <w:r>
              <w:rPr>
                <w:rFonts w:hint="eastAsia" w:cs="Times New Roman"/>
                <w:color w:val="auto"/>
                <w:sz w:val="24"/>
                <w:szCs w:val="24"/>
                <w:lang w:eastAsia="zh-CN"/>
              </w:rPr>
              <w:t>“</w:t>
            </w:r>
            <w:r>
              <w:rPr>
                <w:rFonts w:hint="eastAsia" w:ascii="Times New Roman" w:hAnsi="Times New Roman" w:eastAsia="宋体" w:cs="Times New Roman"/>
                <w:color w:val="auto"/>
                <w:sz w:val="24"/>
                <w:szCs w:val="24"/>
                <w:lang w:val="en-US" w:eastAsia="zh-CN"/>
              </w:rPr>
              <w:t>原则上不开展环境质量现状调查。建设项目存在地下水、土壤环境污染途径的，应结合污染源、保护目标分布情况开展现状调查以留作背景值</w:t>
            </w:r>
            <w:r>
              <w:rPr>
                <w:rFonts w:hint="eastAsia" w:cs="Times New Roman"/>
                <w:color w:val="auto"/>
                <w:sz w:val="24"/>
                <w:szCs w:val="24"/>
                <w:lang w:eastAsia="zh-CN"/>
              </w:rPr>
              <w:t>”</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本项目</w:t>
            </w:r>
            <w:bookmarkStart w:id="35" w:name="OLE_LINK317"/>
            <w:r>
              <w:rPr>
                <w:rFonts w:hint="eastAsia" w:ascii="Times New Roman" w:hAnsi="Times New Roman" w:eastAsia="宋体" w:cs="Times New Roman"/>
                <w:color w:val="auto"/>
                <w:sz w:val="24"/>
                <w:szCs w:val="24"/>
                <w:lang w:val="en-US" w:eastAsia="zh-CN"/>
              </w:rPr>
              <w:t>厂址周边不涉及饮用水水源和特殊地下水资源保护区</w:t>
            </w:r>
            <w:r>
              <w:rPr>
                <w:rFonts w:hint="eastAsia" w:cs="Times New Roman"/>
                <w:color w:val="auto"/>
                <w:sz w:val="24"/>
                <w:szCs w:val="24"/>
                <w:lang w:val="en-US" w:eastAsia="zh-CN"/>
              </w:rPr>
              <w:t>，地块属于工业用地</w:t>
            </w:r>
            <w:bookmarkEnd w:id="35"/>
            <w:r>
              <w:rPr>
                <w:rFonts w:hint="eastAsia" w:cs="Times New Roman"/>
                <w:color w:val="auto"/>
                <w:sz w:val="24"/>
                <w:szCs w:val="24"/>
                <w:lang w:val="en-US" w:eastAsia="zh-CN"/>
              </w:rPr>
              <w:t>，</w:t>
            </w:r>
            <w:r>
              <w:rPr>
                <w:rFonts w:hint="eastAsia"/>
                <w:color w:val="auto"/>
                <w:sz w:val="24"/>
              </w:rPr>
              <w:t>本项目厂区地面及生产车间均采取混凝土硬化处理</w:t>
            </w:r>
            <w:r>
              <w:rPr>
                <w:rFonts w:hint="eastAsia"/>
                <w:color w:val="auto"/>
                <w:sz w:val="24"/>
                <w:lang w:eastAsia="zh-CN"/>
              </w:rPr>
              <w:t>及防渗处理</w:t>
            </w:r>
            <w:r>
              <w:rPr>
                <w:rFonts w:hint="eastAsia" w:cs="Times New Roman"/>
                <w:color w:val="auto"/>
                <w:sz w:val="24"/>
                <w:szCs w:val="24"/>
                <w:lang w:val="en-US" w:eastAsia="zh-CN"/>
              </w:rPr>
              <w:t>，正常情况下</w:t>
            </w:r>
            <w:r>
              <w:rPr>
                <w:rFonts w:hint="eastAsia"/>
                <w:color w:val="auto"/>
                <w:sz w:val="24"/>
              </w:rPr>
              <w:t>不存在地下水和土壤环境污染途径，因此，本次环评未开展土壤、地下水环境质量现状调查。</w:t>
            </w:r>
          </w:p>
          <w:p w14:paraId="5A640133">
            <w:pPr>
              <w:pageBreakBefore w:val="0"/>
              <w:widowControl w:val="0"/>
              <w:kinsoku/>
              <w:wordWrap/>
              <w:overflowPunct/>
              <w:topLinePunct w:val="0"/>
              <w:bidi w:val="0"/>
              <w:adjustRightInd w:val="0"/>
              <w:snapToGrid w:val="0"/>
              <w:spacing w:line="360" w:lineRule="auto"/>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3.5生态环境</w:t>
            </w:r>
            <w:r>
              <w:rPr>
                <w:rFonts w:hint="default" w:ascii="Times New Roman" w:hAnsi="Times New Roman" w:eastAsia="宋体" w:cs="Times New Roman"/>
                <w:b/>
                <w:bCs/>
                <w:color w:val="auto"/>
                <w:sz w:val="24"/>
                <w:szCs w:val="24"/>
                <w:highlight w:val="none"/>
                <w:lang w:val="en-US" w:eastAsia="zh-CN"/>
              </w:rPr>
              <w:t>质量现状</w:t>
            </w:r>
          </w:p>
          <w:p w14:paraId="609A4BBC">
            <w:pPr>
              <w:bidi w:val="0"/>
              <w:rPr>
                <w:rFonts w:hint="eastAsia" w:ascii="Times New Roman" w:hAnsi="Times New Roman" w:eastAsia="宋体" w:cs="宋体"/>
                <w:color w:val="auto"/>
                <w:kern w:val="0"/>
                <w:szCs w:val="21"/>
                <w:highlight w:val="none"/>
                <w:lang w:eastAsia="zh-CN"/>
              </w:rPr>
            </w:pPr>
            <w:r>
              <w:rPr>
                <w:rFonts w:hint="eastAsia" w:ascii="Times New Roman" w:hAnsi="Times New Roman" w:eastAsia="宋体"/>
                <w:color w:val="FF0000"/>
                <w:highlight w:val="none"/>
              </w:rPr>
              <w:t>本项目</w:t>
            </w:r>
            <w:r>
              <w:rPr>
                <w:rFonts w:hint="eastAsia"/>
                <w:color w:val="FF0000"/>
                <w:highlight w:val="none"/>
                <w:lang w:eastAsia="zh-CN"/>
              </w:rPr>
              <w:t>厂房</w:t>
            </w:r>
            <w:r>
              <w:rPr>
                <w:rFonts w:hint="eastAsia" w:ascii="Times New Roman" w:hAnsi="Times New Roman" w:eastAsia="宋体"/>
                <w:color w:val="FF0000"/>
                <w:highlight w:val="none"/>
              </w:rPr>
              <w:t>位于</w:t>
            </w:r>
            <w:r>
              <w:rPr>
                <w:rFonts w:hint="eastAsia"/>
                <w:color w:val="FF0000"/>
                <w:highlight w:val="none"/>
                <w:lang w:eastAsia="zh-CN"/>
              </w:rPr>
              <w:t>陕西省汉中市佛坪县塘湾路</w:t>
            </w:r>
            <w:r>
              <w:rPr>
                <w:rFonts w:hint="eastAsia"/>
                <w:color w:val="FF0000"/>
                <w:highlight w:val="none"/>
                <w:lang w:val="en-US" w:eastAsia="zh-CN"/>
              </w:rPr>
              <w:t>38</w:t>
            </w:r>
            <w:r>
              <w:rPr>
                <w:rFonts w:hint="eastAsia"/>
                <w:color w:val="FF0000"/>
                <w:highlight w:val="none"/>
                <w:lang w:eastAsia="zh-CN"/>
              </w:rPr>
              <w:t>号</w:t>
            </w:r>
            <w:r>
              <w:rPr>
                <w:rFonts w:hint="eastAsia" w:ascii="Times New Roman" w:hAnsi="Times New Roman" w:eastAsia="宋体"/>
                <w:color w:val="FF0000"/>
                <w:highlight w:val="none"/>
              </w:rPr>
              <w:t>，</w:t>
            </w:r>
            <w:r>
              <w:rPr>
                <w:rFonts w:hint="eastAsia"/>
                <w:color w:val="FF0000"/>
                <w:highlight w:val="none"/>
                <w:lang w:eastAsia="zh-CN"/>
              </w:rPr>
              <w:t>位于引汉济渭水源地保护区准保护区范围内，</w:t>
            </w:r>
            <w:r>
              <w:rPr>
                <w:rFonts w:ascii="宋体" w:hAnsi="宋体" w:eastAsia="宋体" w:cs="宋体"/>
                <w:color w:val="FF0000"/>
                <w:sz w:val="24"/>
                <w:szCs w:val="24"/>
              </w:rPr>
              <w:t>项目地处秦岭南麓低山丘陵河谷地带，区域整体地势南北高、中间河谷平缓，塘湾路沿河道河谷布设</w:t>
            </w:r>
            <w:r>
              <w:rPr>
                <w:rFonts w:hint="eastAsia" w:ascii="宋体" w:hAnsi="宋体" w:eastAsia="宋体" w:cs="宋体"/>
                <w:color w:val="FF0000"/>
                <w:sz w:val="24"/>
                <w:szCs w:val="24"/>
                <w:lang w:eastAsia="zh-CN"/>
              </w:rPr>
              <w:t>；</w:t>
            </w:r>
            <w:r>
              <w:rPr>
                <w:rFonts w:ascii="宋体" w:hAnsi="宋体" w:eastAsia="宋体" w:cs="宋体"/>
                <w:color w:val="FF0000"/>
                <w:sz w:val="24"/>
                <w:szCs w:val="24"/>
              </w:rPr>
              <w:t>区域植被以天然阔叶次生林、灌木、人工水土保持林为主，生态承载力强</w:t>
            </w:r>
            <w:r>
              <w:rPr>
                <w:rFonts w:hint="eastAsia" w:ascii="Times New Roman" w:hAnsi="Times New Roman" w:eastAsia="宋体"/>
                <w:color w:val="FF0000"/>
                <w:highlight w:val="none"/>
              </w:rPr>
              <w:t>。</w:t>
            </w:r>
            <w:r>
              <w:rPr>
                <w:rFonts w:hint="eastAsia"/>
                <w:color w:val="FF0000"/>
                <w:highlight w:val="none"/>
                <w:lang w:eastAsia="zh-CN"/>
              </w:rPr>
              <w:t>本项目场地现状为已建硬化厂房，厂区配套雨水排水沟，现状无生产废水外排痕迹；周边居民生活污水接入城镇市政管网，对生态环境影响较小。</w:t>
            </w:r>
          </w:p>
        </w:tc>
      </w:tr>
      <w:tr w14:paraId="2C10AD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14:paraId="0C4392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Cs w:val="21"/>
                <w:highlight w:val="none"/>
              </w:rPr>
            </w:pPr>
            <w:r>
              <w:rPr>
                <w:rFonts w:hint="eastAsia" w:ascii="Times New Roman" w:hAnsi="Times New Roman" w:eastAsia="宋体" w:cs="宋体"/>
                <w:color w:val="auto"/>
                <w:kern w:val="0"/>
                <w:szCs w:val="21"/>
                <w:highlight w:val="none"/>
              </w:rPr>
              <w:t>环境保护目标</w:t>
            </w:r>
          </w:p>
        </w:tc>
        <w:tc>
          <w:tcPr>
            <w:tcW w:w="9321" w:type="dxa"/>
            <w:noWrap w:val="0"/>
            <w:vAlign w:val="center"/>
          </w:tcPr>
          <w:p w14:paraId="5A996092">
            <w:pPr>
              <w:bidi w:val="0"/>
              <w:rPr>
                <w:rFonts w:ascii="Times New Roman" w:hAnsi="Times New Roman" w:eastAsia="宋体"/>
                <w:b/>
                <w:bCs/>
                <w:color w:val="auto"/>
                <w:highlight w:val="none"/>
              </w:rPr>
            </w:pPr>
            <w:r>
              <w:rPr>
                <w:rFonts w:hint="eastAsia" w:ascii="Times New Roman" w:hAnsi="Times New Roman" w:eastAsia="宋体"/>
                <w:b/>
                <w:bCs/>
                <w:color w:val="auto"/>
                <w:highlight w:val="none"/>
                <w:lang w:val="en-US" w:eastAsia="zh-CN"/>
              </w:rPr>
              <w:t>3.6环境保护目标</w:t>
            </w:r>
          </w:p>
          <w:p w14:paraId="363FF1B0">
            <w:pPr>
              <w:spacing w:line="360" w:lineRule="auto"/>
              <w:ind w:firstLine="480" w:firstLineChars="200"/>
              <w:rPr>
                <w:color w:val="auto"/>
                <w:sz w:val="24"/>
                <w:highlight w:val="yellow"/>
              </w:rPr>
            </w:pPr>
            <w:r>
              <w:rPr>
                <w:color w:val="auto"/>
                <w:sz w:val="24"/>
              </w:rPr>
              <w:t>根据现场调查，</w:t>
            </w:r>
            <w:r>
              <w:rPr>
                <w:rFonts w:hint="eastAsia"/>
                <w:color w:val="auto"/>
                <w:sz w:val="24"/>
                <w:lang w:eastAsia="zh-CN"/>
              </w:rPr>
              <w:t>本</w:t>
            </w:r>
            <w:r>
              <w:rPr>
                <w:rFonts w:hint="eastAsia"/>
                <w:color w:val="auto"/>
                <w:sz w:val="24"/>
              </w:rPr>
              <w:t>项目</w:t>
            </w:r>
            <w:r>
              <w:rPr>
                <w:rFonts w:hint="eastAsia"/>
                <w:color w:val="auto"/>
                <w:sz w:val="24"/>
                <w:lang w:eastAsia="zh-CN"/>
              </w:rPr>
              <w:t>厂房</w:t>
            </w:r>
            <w:r>
              <w:rPr>
                <w:rFonts w:hint="eastAsia" w:ascii="Times New Roman" w:hAnsi="Times New Roman" w:eastAsia="宋体"/>
                <w:color w:val="auto"/>
                <w:highlight w:val="none"/>
              </w:rPr>
              <w:t>位于</w:t>
            </w:r>
            <w:r>
              <w:rPr>
                <w:rFonts w:hint="eastAsia"/>
                <w:color w:val="auto"/>
                <w:highlight w:val="none"/>
                <w:lang w:eastAsia="zh-CN"/>
              </w:rPr>
              <w:t>陕西省汉中市佛坪县塘湾路</w:t>
            </w:r>
            <w:r>
              <w:rPr>
                <w:rFonts w:hint="eastAsia"/>
                <w:color w:val="auto"/>
                <w:highlight w:val="none"/>
                <w:lang w:val="en-US" w:eastAsia="zh-CN"/>
              </w:rPr>
              <w:t>38</w:t>
            </w:r>
            <w:r>
              <w:rPr>
                <w:rFonts w:hint="eastAsia"/>
                <w:color w:val="auto"/>
                <w:highlight w:val="none"/>
                <w:lang w:eastAsia="zh-CN"/>
              </w:rPr>
              <w:t>号</w:t>
            </w:r>
            <w:r>
              <w:rPr>
                <w:rFonts w:hint="eastAsia"/>
                <w:color w:val="auto"/>
                <w:sz w:val="24"/>
              </w:rPr>
              <w:t>，</w:t>
            </w:r>
            <w:r>
              <w:rPr>
                <w:rFonts w:hint="eastAsia" w:ascii="Times New Roman" w:hAnsi="Times New Roman" w:eastAsia="宋体" w:cs="Times New Roman"/>
                <w:b w:val="0"/>
                <w:bCs w:val="0"/>
                <w:color w:val="auto"/>
                <w:sz w:val="24"/>
                <w:highlight w:val="none"/>
                <w:lang w:val="en-US" w:eastAsia="zh-CN"/>
              </w:rPr>
              <w:t>本项目评价范围内无自然保护区、风景名胜区、世界文化和自然遗产；调查未见珍稀、濒危野生动物和保护物种；区域主要生态环境保护对象为项目周边居民区、酒店、气象局等</w:t>
            </w:r>
            <w:r>
              <w:rPr>
                <w:rFonts w:hint="eastAsia"/>
                <w:color w:val="auto"/>
                <w:sz w:val="24"/>
              </w:rPr>
              <w:t>；</w:t>
            </w:r>
            <w:r>
              <w:rPr>
                <w:color w:val="auto"/>
                <w:sz w:val="24"/>
              </w:rPr>
              <w:t>根据项目工程特点、评价区域环境特征，本项目厂界外500m范围内</w:t>
            </w:r>
            <w:r>
              <w:rPr>
                <w:rFonts w:hint="eastAsia"/>
                <w:color w:val="auto"/>
                <w:sz w:val="24"/>
              </w:rPr>
              <w:t>大气</w:t>
            </w:r>
            <w:r>
              <w:rPr>
                <w:color w:val="auto"/>
                <w:sz w:val="24"/>
              </w:rPr>
              <w:t>环境保护目标及保护级别见表3</w:t>
            </w:r>
            <w:r>
              <w:rPr>
                <w:rFonts w:hint="eastAsia"/>
                <w:color w:val="auto"/>
                <w:sz w:val="24"/>
              </w:rPr>
              <w:t>-</w:t>
            </w:r>
            <w:r>
              <w:rPr>
                <w:rFonts w:hint="eastAsia"/>
                <w:color w:val="auto"/>
                <w:sz w:val="24"/>
                <w:lang w:val="en-US" w:eastAsia="zh-CN"/>
              </w:rPr>
              <w:t>4</w:t>
            </w:r>
            <w:r>
              <w:rPr>
                <w:rFonts w:hint="eastAsia"/>
                <w:color w:val="auto"/>
                <w:sz w:val="24"/>
              </w:rPr>
              <w:t>，</w:t>
            </w:r>
            <w:r>
              <w:rPr>
                <w:rFonts w:hint="eastAsia"/>
                <w:color w:val="auto"/>
                <w:sz w:val="24"/>
                <w:highlight w:val="none"/>
              </w:rPr>
              <w:t>项目环境保护目标见附图</w:t>
            </w:r>
            <w:r>
              <w:rPr>
                <w:rFonts w:hint="eastAsia"/>
                <w:color w:val="auto"/>
                <w:sz w:val="24"/>
                <w:highlight w:val="none"/>
                <w:lang w:val="en-US" w:eastAsia="zh-CN"/>
              </w:rPr>
              <w:t>5、附图6</w:t>
            </w:r>
            <w:r>
              <w:rPr>
                <w:color w:val="auto"/>
                <w:sz w:val="24"/>
                <w:highlight w:val="none"/>
              </w:rPr>
              <w:t>。</w:t>
            </w:r>
          </w:p>
          <w:p w14:paraId="14BA92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表</w:t>
            </w:r>
            <w:r>
              <w:rPr>
                <w:b/>
                <w:bCs/>
                <w:color w:val="auto"/>
                <w:sz w:val="21"/>
                <w:szCs w:val="21"/>
              </w:rPr>
              <w:t>3</w:t>
            </w:r>
            <w:r>
              <w:rPr>
                <w:rFonts w:hint="eastAsia"/>
                <w:b/>
                <w:bCs/>
                <w:color w:val="auto"/>
                <w:sz w:val="21"/>
                <w:szCs w:val="21"/>
              </w:rPr>
              <w:t>-</w:t>
            </w:r>
            <w:r>
              <w:rPr>
                <w:rFonts w:hint="eastAsia"/>
                <w:b/>
                <w:bCs/>
                <w:color w:val="auto"/>
                <w:sz w:val="21"/>
                <w:szCs w:val="21"/>
                <w:lang w:val="en-US" w:eastAsia="zh-CN"/>
              </w:rPr>
              <w:t>4</w:t>
            </w:r>
            <w:r>
              <w:rPr>
                <w:rFonts w:hint="eastAsia"/>
                <w:b/>
                <w:bCs/>
                <w:color w:val="auto"/>
                <w:sz w:val="21"/>
                <w:szCs w:val="21"/>
              </w:rPr>
              <w:t xml:space="preserve"> </w:t>
            </w:r>
            <w:r>
              <w:rPr>
                <w:b/>
                <w:bCs/>
                <w:color w:val="auto"/>
                <w:sz w:val="21"/>
                <w:szCs w:val="21"/>
              </w:rPr>
              <w:t>本项目主要环境保护目标</w:t>
            </w:r>
          </w:p>
          <w:tbl>
            <w:tblPr>
              <w:tblStyle w:val="25"/>
              <w:tblW w:w="499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846"/>
              <w:gridCol w:w="1251"/>
              <w:gridCol w:w="1135"/>
              <w:gridCol w:w="667"/>
              <w:gridCol w:w="1582"/>
              <w:gridCol w:w="1116"/>
              <w:gridCol w:w="832"/>
              <w:gridCol w:w="941"/>
            </w:tblGrid>
            <w:tr w14:paraId="24A7B8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4" w:hRule="atLeast"/>
                <w:tblHeader/>
                <w:jc w:val="center"/>
              </w:trPr>
              <w:tc>
                <w:tcPr>
                  <w:tcW w:w="379" w:type="pct"/>
                  <w:vMerge w:val="restart"/>
                  <w:tcBorders>
                    <w:tl2br w:val="nil"/>
                    <w:tr2bl w:val="nil"/>
                  </w:tcBorders>
                  <w:vAlign w:val="center"/>
                </w:tcPr>
                <w:p w14:paraId="16F5505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z w:val="21"/>
                      <w:szCs w:val="21"/>
                    </w:rPr>
                  </w:pPr>
                  <w:r>
                    <w:rPr>
                      <w:b/>
                      <w:color w:val="auto"/>
                      <w:sz w:val="21"/>
                      <w:szCs w:val="21"/>
                    </w:rPr>
                    <w:t>环境</w:t>
                  </w:r>
                </w:p>
                <w:p w14:paraId="0177501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z w:val="21"/>
                      <w:szCs w:val="21"/>
                    </w:rPr>
                  </w:pPr>
                  <w:r>
                    <w:rPr>
                      <w:b/>
                      <w:color w:val="auto"/>
                      <w:sz w:val="21"/>
                      <w:szCs w:val="21"/>
                    </w:rPr>
                    <w:t>要素</w:t>
                  </w:r>
                </w:p>
              </w:tc>
              <w:tc>
                <w:tcPr>
                  <w:tcW w:w="467" w:type="pct"/>
                  <w:vMerge w:val="restart"/>
                  <w:tcBorders>
                    <w:tl2br w:val="nil"/>
                    <w:tr2bl w:val="nil"/>
                  </w:tcBorders>
                  <w:vAlign w:val="center"/>
                </w:tcPr>
                <w:p w14:paraId="7771FB9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z w:val="21"/>
                      <w:szCs w:val="21"/>
                    </w:rPr>
                  </w:pPr>
                  <w:r>
                    <w:rPr>
                      <w:rFonts w:hint="eastAsia"/>
                      <w:b/>
                      <w:color w:val="auto"/>
                      <w:sz w:val="21"/>
                      <w:szCs w:val="21"/>
                    </w:rPr>
                    <w:t>名称</w:t>
                  </w:r>
                </w:p>
              </w:tc>
              <w:tc>
                <w:tcPr>
                  <w:tcW w:w="1316" w:type="pct"/>
                  <w:gridSpan w:val="2"/>
                  <w:tcBorders>
                    <w:tl2br w:val="nil"/>
                    <w:tr2bl w:val="nil"/>
                  </w:tcBorders>
                  <w:vAlign w:val="center"/>
                </w:tcPr>
                <w:p w14:paraId="0585254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z w:val="21"/>
                      <w:szCs w:val="21"/>
                    </w:rPr>
                  </w:pPr>
                  <w:r>
                    <w:rPr>
                      <w:rFonts w:hint="eastAsia"/>
                      <w:b/>
                      <w:color w:val="auto"/>
                      <w:sz w:val="21"/>
                      <w:szCs w:val="21"/>
                    </w:rPr>
                    <w:t>坐标</w:t>
                  </w:r>
                </w:p>
              </w:tc>
              <w:tc>
                <w:tcPr>
                  <w:tcW w:w="368" w:type="pct"/>
                  <w:vMerge w:val="restart"/>
                  <w:tcBorders>
                    <w:tl2br w:val="nil"/>
                    <w:tr2bl w:val="nil"/>
                  </w:tcBorders>
                  <w:vAlign w:val="center"/>
                </w:tcPr>
                <w:p w14:paraId="64747BC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z w:val="21"/>
                      <w:szCs w:val="21"/>
                    </w:rPr>
                  </w:pPr>
                  <w:r>
                    <w:rPr>
                      <w:rFonts w:hint="eastAsia"/>
                      <w:b/>
                      <w:color w:val="auto"/>
                      <w:sz w:val="21"/>
                      <w:szCs w:val="21"/>
                    </w:rPr>
                    <w:t>保护对象</w:t>
                  </w:r>
                </w:p>
              </w:tc>
              <w:tc>
                <w:tcPr>
                  <w:tcW w:w="873" w:type="pct"/>
                  <w:vMerge w:val="restart"/>
                  <w:tcBorders>
                    <w:tl2br w:val="nil"/>
                    <w:tr2bl w:val="nil"/>
                  </w:tcBorders>
                  <w:vAlign w:val="center"/>
                </w:tcPr>
                <w:p w14:paraId="7B4EEBB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z w:val="21"/>
                      <w:szCs w:val="21"/>
                    </w:rPr>
                  </w:pPr>
                  <w:r>
                    <w:rPr>
                      <w:rFonts w:hint="eastAsia"/>
                      <w:b/>
                      <w:color w:val="auto"/>
                      <w:sz w:val="21"/>
                      <w:szCs w:val="21"/>
                    </w:rPr>
                    <w:t>保护内容</w:t>
                  </w:r>
                </w:p>
              </w:tc>
              <w:tc>
                <w:tcPr>
                  <w:tcW w:w="616" w:type="pct"/>
                  <w:vMerge w:val="restart"/>
                  <w:tcBorders>
                    <w:tl2br w:val="nil"/>
                    <w:tr2bl w:val="nil"/>
                  </w:tcBorders>
                  <w:vAlign w:val="center"/>
                </w:tcPr>
                <w:p w14:paraId="356233C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pacing w:val="-6"/>
                      <w:sz w:val="21"/>
                      <w:szCs w:val="21"/>
                    </w:rPr>
                  </w:pPr>
                  <w:r>
                    <w:rPr>
                      <w:rFonts w:hint="eastAsia"/>
                      <w:b/>
                      <w:color w:val="auto"/>
                      <w:spacing w:val="-6"/>
                      <w:sz w:val="21"/>
                      <w:szCs w:val="21"/>
                    </w:rPr>
                    <w:t>环境功能区</w:t>
                  </w:r>
                </w:p>
              </w:tc>
              <w:tc>
                <w:tcPr>
                  <w:tcW w:w="459" w:type="pct"/>
                  <w:vMerge w:val="restart"/>
                  <w:tcBorders>
                    <w:tl2br w:val="nil"/>
                    <w:tr2bl w:val="nil"/>
                  </w:tcBorders>
                  <w:vAlign w:val="center"/>
                </w:tcPr>
                <w:p w14:paraId="5DE6F7F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pacing w:val="-6"/>
                      <w:sz w:val="21"/>
                      <w:szCs w:val="21"/>
                    </w:rPr>
                  </w:pPr>
                  <w:r>
                    <w:rPr>
                      <w:rFonts w:hint="eastAsia"/>
                      <w:b/>
                      <w:color w:val="auto"/>
                      <w:spacing w:val="-6"/>
                      <w:sz w:val="21"/>
                      <w:szCs w:val="21"/>
                    </w:rPr>
                    <w:t>相对厂址方位</w:t>
                  </w:r>
                </w:p>
              </w:tc>
              <w:tc>
                <w:tcPr>
                  <w:tcW w:w="518" w:type="pct"/>
                  <w:vMerge w:val="restart"/>
                  <w:tcBorders>
                    <w:tl2br w:val="nil"/>
                    <w:tr2bl w:val="nil"/>
                  </w:tcBorders>
                  <w:vAlign w:val="center"/>
                </w:tcPr>
                <w:p w14:paraId="1D41949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pacing w:val="-6"/>
                      <w:sz w:val="21"/>
                      <w:szCs w:val="21"/>
                    </w:rPr>
                  </w:pPr>
                  <w:r>
                    <w:rPr>
                      <w:rFonts w:hint="eastAsia"/>
                      <w:b/>
                      <w:color w:val="auto"/>
                      <w:spacing w:val="-6"/>
                      <w:sz w:val="21"/>
                      <w:szCs w:val="21"/>
                    </w:rPr>
                    <w:t>相对厂界距离（m）</w:t>
                  </w:r>
                </w:p>
              </w:tc>
            </w:tr>
            <w:tr w14:paraId="616CC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379" w:type="pct"/>
                  <w:vMerge w:val="continue"/>
                  <w:tcBorders>
                    <w:tl2br w:val="nil"/>
                    <w:tr2bl w:val="nil"/>
                  </w:tcBorders>
                  <w:vAlign w:val="center"/>
                </w:tcPr>
                <w:p w14:paraId="03BED3E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467" w:type="pct"/>
                  <w:vMerge w:val="continue"/>
                  <w:tcBorders>
                    <w:tl2br w:val="nil"/>
                    <w:tr2bl w:val="nil"/>
                  </w:tcBorders>
                  <w:vAlign w:val="center"/>
                </w:tcPr>
                <w:p w14:paraId="3CF079F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z w:val="21"/>
                      <w:szCs w:val="21"/>
                    </w:rPr>
                  </w:pPr>
                </w:p>
              </w:tc>
              <w:tc>
                <w:tcPr>
                  <w:tcW w:w="690" w:type="pct"/>
                  <w:tcBorders>
                    <w:tl2br w:val="nil"/>
                    <w:tr2bl w:val="nil"/>
                  </w:tcBorders>
                  <w:vAlign w:val="center"/>
                </w:tcPr>
                <w:p w14:paraId="3DDD812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z w:val="21"/>
                      <w:szCs w:val="21"/>
                    </w:rPr>
                  </w:pPr>
                  <w:r>
                    <w:rPr>
                      <w:rFonts w:hint="eastAsia"/>
                      <w:b/>
                      <w:color w:val="auto"/>
                      <w:sz w:val="21"/>
                      <w:szCs w:val="21"/>
                    </w:rPr>
                    <w:t>经度</w:t>
                  </w:r>
                </w:p>
              </w:tc>
              <w:tc>
                <w:tcPr>
                  <w:tcW w:w="625" w:type="pct"/>
                  <w:tcBorders>
                    <w:tl2br w:val="nil"/>
                    <w:tr2bl w:val="nil"/>
                  </w:tcBorders>
                  <w:vAlign w:val="center"/>
                </w:tcPr>
                <w:p w14:paraId="11890B8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z w:val="21"/>
                      <w:szCs w:val="21"/>
                    </w:rPr>
                  </w:pPr>
                  <w:r>
                    <w:rPr>
                      <w:rFonts w:hint="eastAsia"/>
                      <w:b/>
                      <w:color w:val="auto"/>
                      <w:sz w:val="21"/>
                      <w:szCs w:val="21"/>
                    </w:rPr>
                    <w:t>纬度</w:t>
                  </w:r>
                </w:p>
              </w:tc>
              <w:tc>
                <w:tcPr>
                  <w:tcW w:w="368" w:type="pct"/>
                  <w:vMerge w:val="continue"/>
                  <w:tcBorders>
                    <w:tl2br w:val="nil"/>
                    <w:tr2bl w:val="nil"/>
                  </w:tcBorders>
                  <w:vAlign w:val="center"/>
                </w:tcPr>
                <w:p w14:paraId="42EAD47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z w:val="21"/>
                      <w:szCs w:val="21"/>
                    </w:rPr>
                  </w:pPr>
                </w:p>
              </w:tc>
              <w:tc>
                <w:tcPr>
                  <w:tcW w:w="873" w:type="pct"/>
                  <w:vMerge w:val="continue"/>
                  <w:tcBorders>
                    <w:tl2br w:val="nil"/>
                    <w:tr2bl w:val="nil"/>
                  </w:tcBorders>
                  <w:vAlign w:val="center"/>
                </w:tcPr>
                <w:p w14:paraId="72321A2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z w:val="21"/>
                      <w:szCs w:val="21"/>
                    </w:rPr>
                  </w:pPr>
                </w:p>
              </w:tc>
              <w:tc>
                <w:tcPr>
                  <w:tcW w:w="616" w:type="pct"/>
                  <w:vMerge w:val="continue"/>
                  <w:tcBorders>
                    <w:tl2br w:val="nil"/>
                    <w:tr2bl w:val="nil"/>
                  </w:tcBorders>
                  <w:vAlign w:val="center"/>
                </w:tcPr>
                <w:p w14:paraId="051716E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z w:val="21"/>
                      <w:szCs w:val="21"/>
                    </w:rPr>
                  </w:pPr>
                </w:p>
              </w:tc>
              <w:tc>
                <w:tcPr>
                  <w:tcW w:w="459" w:type="pct"/>
                  <w:vMerge w:val="continue"/>
                  <w:tcBorders>
                    <w:tl2br w:val="nil"/>
                    <w:tr2bl w:val="nil"/>
                  </w:tcBorders>
                  <w:vAlign w:val="center"/>
                </w:tcPr>
                <w:p w14:paraId="75F6F56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z w:val="21"/>
                      <w:szCs w:val="21"/>
                    </w:rPr>
                  </w:pPr>
                </w:p>
              </w:tc>
              <w:tc>
                <w:tcPr>
                  <w:tcW w:w="518" w:type="pct"/>
                  <w:vMerge w:val="continue"/>
                  <w:tcBorders>
                    <w:tl2br w:val="nil"/>
                    <w:tr2bl w:val="nil"/>
                  </w:tcBorders>
                  <w:vAlign w:val="center"/>
                </w:tcPr>
                <w:p w14:paraId="03A3A73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color w:val="auto"/>
                      <w:sz w:val="21"/>
                      <w:szCs w:val="21"/>
                    </w:rPr>
                  </w:pPr>
                </w:p>
              </w:tc>
            </w:tr>
            <w:tr w14:paraId="5E9369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79" w:type="pct"/>
                  <w:vMerge w:val="restart"/>
                  <w:tcBorders>
                    <w:tl2br w:val="nil"/>
                    <w:tr2bl w:val="nil"/>
                  </w:tcBorders>
                  <w:vAlign w:val="center"/>
                </w:tcPr>
                <w:p w14:paraId="4A6ED86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val="0"/>
                      <w:bCs w:val="0"/>
                      <w:color w:val="auto"/>
                      <w:sz w:val="21"/>
                      <w:szCs w:val="21"/>
                      <w:lang w:eastAsia="zh-CN"/>
                    </w:rPr>
                  </w:pPr>
                  <w:bookmarkStart w:id="36" w:name="OLE_LINK8" w:colFirst="7" w:colLast="7"/>
                  <w:r>
                    <w:rPr>
                      <w:rFonts w:hint="eastAsia"/>
                      <w:b w:val="0"/>
                      <w:bCs w:val="0"/>
                      <w:color w:val="auto"/>
                      <w:sz w:val="21"/>
                      <w:szCs w:val="21"/>
                      <w:lang w:eastAsia="zh-CN"/>
                    </w:rPr>
                    <w:t>环境空气、声环境</w:t>
                  </w:r>
                </w:p>
              </w:tc>
              <w:tc>
                <w:tcPr>
                  <w:tcW w:w="467" w:type="pct"/>
                  <w:tcBorders>
                    <w:tl2br w:val="nil"/>
                    <w:tr2bl w:val="nil"/>
                  </w:tcBorders>
                  <w:vAlign w:val="center"/>
                </w:tcPr>
                <w:p w14:paraId="08FBD77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eastAsia="zh-CN"/>
                    </w:rPr>
                    <w:t>佛坪云溪酒店</w:t>
                  </w:r>
                </w:p>
              </w:tc>
              <w:tc>
                <w:tcPr>
                  <w:tcW w:w="690" w:type="pct"/>
                  <w:tcBorders>
                    <w:tl2br w:val="nil"/>
                    <w:tr2bl w:val="nil"/>
                  </w:tcBorders>
                  <w:vAlign w:val="center"/>
                </w:tcPr>
                <w:p w14:paraId="0894566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107.988722</w:t>
                  </w:r>
                </w:p>
              </w:tc>
              <w:tc>
                <w:tcPr>
                  <w:tcW w:w="625" w:type="pct"/>
                  <w:tcBorders>
                    <w:tl2br w:val="nil"/>
                    <w:tr2bl w:val="nil"/>
                  </w:tcBorders>
                  <w:vAlign w:val="center"/>
                </w:tcPr>
                <w:p w14:paraId="4B4819C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33.533203</w:t>
                  </w:r>
                </w:p>
              </w:tc>
              <w:tc>
                <w:tcPr>
                  <w:tcW w:w="368" w:type="pct"/>
                  <w:tcBorders>
                    <w:tl2br w:val="nil"/>
                    <w:tr2bl w:val="nil"/>
                  </w:tcBorders>
                  <w:vAlign w:val="center"/>
                </w:tcPr>
                <w:p w14:paraId="2EC79A0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eastAsia="zh-CN"/>
                    </w:rPr>
                    <w:t>居民</w:t>
                  </w:r>
                </w:p>
              </w:tc>
              <w:tc>
                <w:tcPr>
                  <w:tcW w:w="873" w:type="pct"/>
                  <w:tcBorders>
                    <w:tl2br w:val="nil"/>
                    <w:tr2bl w:val="nil"/>
                  </w:tcBorders>
                  <w:vAlign w:val="center"/>
                </w:tcPr>
                <w:p w14:paraId="51400B4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val="en-US" w:eastAsia="zh-CN"/>
                    </w:rPr>
                    <w:t>300人</w:t>
                  </w:r>
                </w:p>
              </w:tc>
              <w:tc>
                <w:tcPr>
                  <w:tcW w:w="616" w:type="pct"/>
                  <w:vMerge w:val="restart"/>
                  <w:tcBorders>
                    <w:tl2br w:val="nil"/>
                    <w:tr2bl w:val="nil"/>
                  </w:tcBorders>
                  <w:vAlign w:val="center"/>
                </w:tcPr>
                <w:p w14:paraId="08E9DA0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环境空气二类区、声环境2类区</w:t>
                  </w:r>
                </w:p>
              </w:tc>
              <w:tc>
                <w:tcPr>
                  <w:tcW w:w="459" w:type="pct"/>
                  <w:tcBorders>
                    <w:tl2br w:val="nil"/>
                    <w:tr2bl w:val="nil"/>
                  </w:tcBorders>
                  <w:vAlign w:val="center"/>
                </w:tcPr>
                <w:p w14:paraId="4438E0B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eastAsia="zh-CN"/>
                    </w:rPr>
                    <w:t>北</w:t>
                  </w:r>
                </w:p>
              </w:tc>
              <w:tc>
                <w:tcPr>
                  <w:tcW w:w="518" w:type="pct"/>
                  <w:tcBorders>
                    <w:tl2br w:val="nil"/>
                    <w:tr2bl w:val="nil"/>
                  </w:tcBorders>
                  <w:vAlign w:val="center"/>
                </w:tcPr>
                <w:p w14:paraId="5C88357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val="en-US" w:eastAsia="zh-CN"/>
                    </w:rPr>
                    <w:t>紧邻</w:t>
                  </w:r>
                </w:p>
              </w:tc>
            </w:tr>
            <w:tr w14:paraId="09CF2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79" w:type="pct"/>
                  <w:vMerge w:val="continue"/>
                  <w:tcBorders>
                    <w:tl2br w:val="nil"/>
                    <w:tr2bl w:val="nil"/>
                  </w:tcBorders>
                  <w:vAlign w:val="center"/>
                </w:tcPr>
                <w:p w14:paraId="402D45F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lang w:eastAsia="zh-CN"/>
                    </w:rPr>
                  </w:pPr>
                </w:p>
              </w:tc>
              <w:tc>
                <w:tcPr>
                  <w:tcW w:w="467" w:type="pct"/>
                  <w:tcBorders>
                    <w:tl2br w:val="nil"/>
                    <w:tr2bl w:val="nil"/>
                  </w:tcBorders>
                  <w:vAlign w:val="center"/>
                </w:tcPr>
                <w:p w14:paraId="21DB5E5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eastAsia="zh-CN"/>
                    </w:rPr>
                    <w:t>塘坊村</w:t>
                  </w:r>
                </w:p>
              </w:tc>
              <w:tc>
                <w:tcPr>
                  <w:tcW w:w="690" w:type="pct"/>
                  <w:tcBorders>
                    <w:tl2br w:val="nil"/>
                    <w:tr2bl w:val="nil"/>
                  </w:tcBorders>
                  <w:vAlign w:val="center"/>
                </w:tcPr>
                <w:p w14:paraId="7480B8D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107.989222</w:t>
                  </w:r>
                </w:p>
              </w:tc>
              <w:tc>
                <w:tcPr>
                  <w:tcW w:w="625" w:type="pct"/>
                  <w:tcBorders>
                    <w:tl2br w:val="nil"/>
                    <w:tr2bl w:val="nil"/>
                  </w:tcBorders>
                  <w:vAlign w:val="center"/>
                </w:tcPr>
                <w:p w14:paraId="6A3BA28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33.533259</w:t>
                  </w:r>
                </w:p>
              </w:tc>
              <w:tc>
                <w:tcPr>
                  <w:tcW w:w="368" w:type="pct"/>
                  <w:tcBorders>
                    <w:tl2br w:val="nil"/>
                    <w:tr2bl w:val="nil"/>
                  </w:tcBorders>
                  <w:vAlign w:val="center"/>
                </w:tcPr>
                <w:p w14:paraId="66A2C6C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eastAsia="zh-CN"/>
                    </w:rPr>
                    <w:t>居民</w:t>
                  </w:r>
                </w:p>
              </w:tc>
              <w:tc>
                <w:tcPr>
                  <w:tcW w:w="873" w:type="pct"/>
                  <w:tcBorders>
                    <w:tl2br w:val="nil"/>
                    <w:tr2bl w:val="nil"/>
                  </w:tcBorders>
                  <w:vAlign w:val="center"/>
                </w:tcPr>
                <w:p w14:paraId="2E84D3E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val="en-US" w:eastAsia="zh-CN"/>
                    </w:rPr>
                    <w:t>6人</w:t>
                  </w:r>
                </w:p>
              </w:tc>
              <w:tc>
                <w:tcPr>
                  <w:tcW w:w="616" w:type="pct"/>
                  <w:vMerge w:val="continue"/>
                  <w:tcBorders>
                    <w:tl2br w:val="nil"/>
                    <w:tr2bl w:val="nil"/>
                  </w:tcBorders>
                  <w:vAlign w:val="center"/>
                </w:tcPr>
                <w:p w14:paraId="5EAB4B1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p>
              </w:tc>
              <w:tc>
                <w:tcPr>
                  <w:tcW w:w="459" w:type="pct"/>
                  <w:tcBorders>
                    <w:tl2br w:val="nil"/>
                    <w:tr2bl w:val="nil"/>
                  </w:tcBorders>
                  <w:vAlign w:val="center"/>
                </w:tcPr>
                <w:p w14:paraId="1F112DE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eastAsia="zh-CN"/>
                    </w:rPr>
                    <w:t>东北</w:t>
                  </w:r>
                </w:p>
              </w:tc>
              <w:tc>
                <w:tcPr>
                  <w:tcW w:w="518" w:type="pct"/>
                  <w:tcBorders>
                    <w:tl2br w:val="nil"/>
                    <w:tr2bl w:val="nil"/>
                  </w:tcBorders>
                  <w:vAlign w:val="center"/>
                </w:tcPr>
                <w:p w14:paraId="076F6BF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val="en-US" w:eastAsia="zh-CN"/>
                    </w:rPr>
                    <w:t>11</w:t>
                  </w:r>
                </w:p>
              </w:tc>
            </w:tr>
            <w:tr w14:paraId="0BE65A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79" w:type="pct"/>
                  <w:vMerge w:val="continue"/>
                  <w:tcBorders>
                    <w:tl2br w:val="nil"/>
                    <w:tr2bl w:val="nil"/>
                  </w:tcBorders>
                  <w:vAlign w:val="center"/>
                </w:tcPr>
                <w:p w14:paraId="4AD31A5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lang w:eastAsia="zh-CN"/>
                    </w:rPr>
                  </w:pPr>
                </w:p>
              </w:tc>
              <w:tc>
                <w:tcPr>
                  <w:tcW w:w="467" w:type="pct"/>
                  <w:tcBorders>
                    <w:tl2br w:val="nil"/>
                    <w:tr2bl w:val="nil"/>
                  </w:tcBorders>
                  <w:vAlign w:val="center"/>
                </w:tcPr>
                <w:p w14:paraId="3104B12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eastAsia="zh-CN"/>
                    </w:rPr>
                    <w:t>佛坪县气象局</w:t>
                  </w:r>
                </w:p>
              </w:tc>
              <w:tc>
                <w:tcPr>
                  <w:tcW w:w="690" w:type="pct"/>
                  <w:tcBorders>
                    <w:tl2br w:val="nil"/>
                    <w:tr2bl w:val="nil"/>
                  </w:tcBorders>
                  <w:vAlign w:val="center"/>
                </w:tcPr>
                <w:p w14:paraId="4D44530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107.989716</w:t>
                  </w:r>
                </w:p>
              </w:tc>
              <w:tc>
                <w:tcPr>
                  <w:tcW w:w="625" w:type="pct"/>
                  <w:tcBorders>
                    <w:tl2br w:val="nil"/>
                    <w:tr2bl w:val="nil"/>
                  </w:tcBorders>
                  <w:vAlign w:val="center"/>
                </w:tcPr>
                <w:p w14:paraId="0473BA7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33.532385</w:t>
                  </w:r>
                </w:p>
              </w:tc>
              <w:tc>
                <w:tcPr>
                  <w:tcW w:w="368" w:type="pct"/>
                  <w:tcBorders>
                    <w:tl2br w:val="nil"/>
                    <w:tr2bl w:val="nil"/>
                  </w:tcBorders>
                  <w:vAlign w:val="center"/>
                </w:tcPr>
                <w:p w14:paraId="223D840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eastAsia="zh-CN"/>
                    </w:rPr>
                    <w:t>职工</w:t>
                  </w:r>
                </w:p>
              </w:tc>
              <w:tc>
                <w:tcPr>
                  <w:tcW w:w="873" w:type="pct"/>
                  <w:tcBorders>
                    <w:tl2br w:val="nil"/>
                    <w:tr2bl w:val="nil"/>
                  </w:tcBorders>
                  <w:vAlign w:val="center"/>
                </w:tcPr>
                <w:p w14:paraId="2C90E21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val="en-US" w:eastAsia="zh-CN"/>
                    </w:rPr>
                    <w:t>30人</w:t>
                  </w:r>
                </w:p>
              </w:tc>
              <w:tc>
                <w:tcPr>
                  <w:tcW w:w="616" w:type="pct"/>
                  <w:vMerge w:val="continue"/>
                  <w:tcBorders>
                    <w:tl2br w:val="nil"/>
                    <w:tr2bl w:val="nil"/>
                  </w:tcBorders>
                  <w:vAlign w:val="center"/>
                </w:tcPr>
                <w:p w14:paraId="3DED5CA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p>
              </w:tc>
              <w:tc>
                <w:tcPr>
                  <w:tcW w:w="459" w:type="pct"/>
                  <w:tcBorders>
                    <w:tl2br w:val="nil"/>
                    <w:tr2bl w:val="nil"/>
                  </w:tcBorders>
                  <w:vAlign w:val="center"/>
                </w:tcPr>
                <w:p w14:paraId="5413A3E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eastAsia="zh-CN"/>
                    </w:rPr>
                    <w:t>东南</w:t>
                  </w:r>
                </w:p>
              </w:tc>
              <w:tc>
                <w:tcPr>
                  <w:tcW w:w="518" w:type="pct"/>
                  <w:tcBorders>
                    <w:tl2br w:val="nil"/>
                    <w:tr2bl w:val="nil"/>
                  </w:tcBorders>
                  <w:vAlign w:val="center"/>
                </w:tcPr>
                <w:p w14:paraId="67A51B5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b w:val="0"/>
                      <w:bCs w:val="0"/>
                      <w:color w:val="auto"/>
                      <w:sz w:val="21"/>
                      <w:szCs w:val="21"/>
                      <w:lang w:val="en-US" w:eastAsia="zh-CN"/>
                    </w:rPr>
                    <w:t>紧邻</w:t>
                  </w:r>
                </w:p>
              </w:tc>
            </w:tr>
            <w:tr w14:paraId="6157FE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79" w:type="pct"/>
                  <w:vMerge w:val="restart"/>
                  <w:tcBorders>
                    <w:tl2br w:val="nil"/>
                    <w:tr2bl w:val="nil"/>
                  </w:tcBorders>
                  <w:vAlign w:val="center"/>
                </w:tcPr>
                <w:p w14:paraId="6380DA5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lang w:eastAsia="zh-CN"/>
                    </w:rPr>
                  </w:pPr>
                  <w:r>
                    <w:rPr>
                      <w:rFonts w:hint="eastAsia"/>
                      <w:b w:val="0"/>
                      <w:bCs w:val="0"/>
                      <w:color w:val="auto"/>
                      <w:sz w:val="21"/>
                      <w:szCs w:val="21"/>
                      <w:lang w:eastAsia="zh-CN"/>
                    </w:rPr>
                    <w:t>环境空气</w:t>
                  </w:r>
                </w:p>
              </w:tc>
              <w:tc>
                <w:tcPr>
                  <w:tcW w:w="467" w:type="pct"/>
                  <w:tcBorders>
                    <w:tl2br w:val="nil"/>
                    <w:tr2bl w:val="nil"/>
                  </w:tcBorders>
                  <w:vAlign w:val="center"/>
                </w:tcPr>
                <w:p w14:paraId="68E3641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lang w:eastAsia="zh-CN"/>
                    </w:rPr>
                  </w:pPr>
                  <w:r>
                    <w:rPr>
                      <w:rFonts w:hint="eastAsia"/>
                      <w:b w:val="0"/>
                      <w:bCs w:val="0"/>
                      <w:color w:val="auto"/>
                      <w:sz w:val="21"/>
                      <w:szCs w:val="21"/>
                      <w:lang w:eastAsia="zh-CN"/>
                    </w:rPr>
                    <w:t>佛坪县体育馆</w:t>
                  </w:r>
                </w:p>
              </w:tc>
              <w:tc>
                <w:tcPr>
                  <w:tcW w:w="690" w:type="pct"/>
                  <w:tcBorders>
                    <w:tl2br w:val="nil"/>
                    <w:tr2bl w:val="nil"/>
                  </w:tcBorders>
                  <w:vAlign w:val="center"/>
                </w:tcPr>
                <w:p w14:paraId="292CFB1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107.987077</w:t>
                  </w:r>
                </w:p>
              </w:tc>
              <w:tc>
                <w:tcPr>
                  <w:tcW w:w="625" w:type="pct"/>
                  <w:tcBorders>
                    <w:tl2br w:val="nil"/>
                    <w:tr2bl w:val="nil"/>
                  </w:tcBorders>
                  <w:vAlign w:val="center"/>
                </w:tcPr>
                <w:p w14:paraId="3EC233D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33.532074</w:t>
                  </w:r>
                </w:p>
              </w:tc>
              <w:tc>
                <w:tcPr>
                  <w:tcW w:w="368" w:type="pct"/>
                  <w:tcBorders>
                    <w:tl2br w:val="nil"/>
                    <w:tr2bl w:val="nil"/>
                  </w:tcBorders>
                  <w:vAlign w:val="center"/>
                </w:tcPr>
                <w:p w14:paraId="16C6F66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lang w:eastAsia="zh-CN"/>
                    </w:rPr>
                  </w:pPr>
                  <w:r>
                    <w:rPr>
                      <w:rFonts w:hint="eastAsia"/>
                      <w:b w:val="0"/>
                      <w:bCs w:val="0"/>
                      <w:color w:val="auto"/>
                      <w:sz w:val="21"/>
                      <w:szCs w:val="21"/>
                      <w:lang w:eastAsia="zh-CN"/>
                    </w:rPr>
                    <w:t>职工</w:t>
                  </w:r>
                </w:p>
              </w:tc>
              <w:tc>
                <w:tcPr>
                  <w:tcW w:w="873" w:type="pct"/>
                  <w:tcBorders>
                    <w:tl2br w:val="nil"/>
                    <w:tr2bl w:val="nil"/>
                  </w:tcBorders>
                  <w:vAlign w:val="center"/>
                </w:tcPr>
                <w:p w14:paraId="30DB9A9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color w:val="auto"/>
                      <w:sz w:val="21"/>
                      <w:szCs w:val="21"/>
                      <w:lang w:val="en-US" w:eastAsia="zh-CN"/>
                    </w:rPr>
                  </w:pPr>
                  <w:r>
                    <w:rPr>
                      <w:rFonts w:hint="eastAsia"/>
                      <w:b w:val="0"/>
                      <w:bCs w:val="0"/>
                      <w:color w:val="auto"/>
                      <w:sz w:val="21"/>
                      <w:szCs w:val="21"/>
                      <w:lang w:val="en-US" w:eastAsia="zh-CN"/>
                    </w:rPr>
                    <w:t>40人</w:t>
                  </w:r>
                </w:p>
              </w:tc>
              <w:tc>
                <w:tcPr>
                  <w:tcW w:w="616" w:type="pct"/>
                  <w:vMerge w:val="continue"/>
                  <w:tcBorders>
                    <w:tl2br w:val="nil"/>
                    <w:tr2bl w:val="nil"/>
                  </w:tcBorders>
                  <w:vAlign w:val="center"/>
                </w:tcPr>
                <w:p w14:paraId="4DFB9B1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rPr>
                  </w:pPr>
                </w:p>
              </w:tc>
              <w:tc>
                <w:tcPr>
                  <w:tcW w:w="459" w:type="pct"/>
                  <w:tcBorders>
                    <w:tl2br w:val="nil"/>
                    <w:tr2bl w:val="nil"/>
                  </w:tcBorders>
                  <w:vAlign w:val="center"/>
                </w:tcPr>
                <w:p w14:paraId="106A8F7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lang w:eastAsia="zh-CN"/>
                    </w:rPr>
                  </w:pPr>
                  <w:r>
                    <w:rPr>
                      <w:rFonts w:hint="eastAsia"/>
                      <w:b w:val="0"/>
                      <w:bCs w:val="0"/>
                      <w:color w:val="auto"/>
                      <w:sz w:val="21"/>
                      <w:szCs w:val="21"/>
                      <w:lang w:eastAsia="zh-CN"/>
                    </w:rPr>
                    <w:t>西</w:t>
                  </w:r>
                </w:p>
              </w:tc>
              <w:tc>
                <w:tcPr>
                  <w:tcW w:w="518" w:type="pct"/>
                  <w:tcBorders>
                    <w:tl2br w:val="nil"/>
                    <w:tr2bl w:val="nil"/>
                  </w:tcBorders>
                  <w:vAlign w:val="center"/>
                </w:tcPr>
                <w:p w14:paraId="402E123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z w:val="21"/>
                      <w:szCs w:val="21"/>
                      <w:lang w:val="en-US" w:eastAsia="zh-CN"/>
                    </w:rPr>
                  </w:pPr>
                  <w:r>
                    <w:rPr>
                      <w:rFonts w:hint="eastAsia"/>
                      <w:b w:val="0"/>
                      <w:bCs w:val="0"/>
                      <w:color w:val="auto"/>
                      <w:sz w:val="21"/>
                      <w:szCs w:val="21"/>
                      <w:lang w:val="en-US" w:eastAsia="zh-CN"/>
                    </w:rPr>
                    <w:t>160</w:t>
                  </w:r>
                </w:p>
              </w:tc>
            </w:tr>
            <w:tr w14:paraId="7D8CB7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79" w:type="pct"/>
                  <w:vMerge w:val="continue"/>
                  <w:tcBorders>
                    <w:tl2br w:val="nil"/>
                    <w:tr2bl w:val="nil"/>
                  </w:tcBorders>
                  <w:vAlign w:val="center"/>
                </w:tcPr>
                <w:p w14:paraId="4B0ABCB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lang w:eastAsia="zh-CN"/>
                    </w:rPr>
                  </w:pPr>
                </w:p>
              </w:tc>
              <w:tc>
                <w:tcPr>
                  <w:tcW w:w="467" w:type="pct"/>
                  <w:tcBorders>
                    <w:tl2br w:val="nil"/>
                    <w:tr2bl w:val="nil"/>
                  </w:tcBorders>
                  <w:vAlign w:val="center"/>
                </w:tcPr>
                <w:p w14:paraId="79EED4E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lang w:eastAsia="zh-CN"/>
                    </w:rPr>
                  </w:pPr>
                  <w:r>
                    <w:rPr>
                      <w:rFonts w:hint="eastAsia"/>
                      <w:b w:val="0"/>
                      <w:bCs w:val="0"/>
                      <w:color w:val="auto"/>
                      <w:sz w:val="21"/>
                      <w:szCs w:val="21"/>
                      <w:lang w:eastAsia="zh-CN"/>
                    </w:rPr>
                    <w:t>佛坪县委党校</w:t>
                  </w:r>
                </w:p>
              </w:tc>
              <w:tc>
                <w:tcPr>
                  <w:tcW w:w="690" w:type="pct"/>
                  <w:tcBorders>
                    <w:tl2br w:val="nil"/>
                    <w:tr2bl w:val="nil"/>
                  </w:tcBorders>
                  <w:vAlign w:val="center"/>
                </w:tcPr>
                <w:p w14:paraId="7FD0BEB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107.986648</w:t>
                  </w:r>
                </w:p>
              </w:tc>
              <w:tc>
                <w:tcPr>
                  <w:tcW w:w="625" w:type="pct"/>
                  <w:tcBorders>
                    <w:tl2br w:val="nil"/>
                    <w:tr2bl w:val="nil"/>
                  </w:tcBorders>
                  <w:vAlign w:val="center"/>
                </w:tcPr>
                <w:p w14:paraId="6B3535E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33.531800</w:t>
                  </w:r>
                </w:p>
              </w:tc>
              <w:tc>
                <w:tcPr>
                  <w:tcW w:w="368" w:type="pct"/>
                  <w:tcBorders>
                    <w:tl2br w:val="nil"/>
                    <w:tr2bl w:val="nil"/>
                  </w:tcBorders>
                  <w:vAlign w:val="center"/>
                </w:tcPr>
                <w:p w14:paraId="7ADB3F3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lang w:eastAsia="zh-CN"/>
                    </w:rPr>
                  </w:pPr>
                  <w:r>
                    <w:rPr>
                      <w:rFonts w:hint="eastAsia"/>
                      <w:b w:val="0"/>
                      <w:bCs w:val="0"/>
                      <w:color w:val="auto"/>
                      <w:sz w:val="21"/>
                      <w:szCs w:val="21"/>
                      <w:lang w:eastAsia="zh-CN"/>
                    </w:rPr>
                    <w:t>职工</w:t>
                  </w:r>
                </w:p>
              </w:tc>
              <w:tc>
                <w:tcPr>
                  <w:tcW w:w="873" w:type="pct"/>
                  <w:tcBorders>
                    <w:tl2br w:val="nil"/>
                    <w:tr2bl w:val="nil"/>
                  </w:tcBorders>
                  <w:vAlign w:val="center"/>
                </w:tcPr>
                <w:p w14:paraId="7F944ED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color w:val="auto"/>
                      <w:sz w:val="21"/>
                      <w:szCs w:val="21"/>
                      <w:lang w:val="en-US" w:eastAsia="zh-CN"/>
                    </w:rPr>
                  </w:pPr>
                  <w:r>
                    <w:rPr>
                      <w:rFonts w:hint="eastAsia"/>
                      <w:b w:val="0"/>
                      <w:bCs w:val="0"/>
                      <w:color w:val="auto"/>
                      <w:sz w:val="21"/>
                      <w:szCs w:val="21"/>
                      <w:lang w:val="en-US" w:eastAsia="zh-CN"/>
                    </w:rPr>
                    <w:t>30人</w:t>
                  </w:r>
                </w:p>
              </w:tc>
              <w:tc>
                <w:tcPr>
                  <w:tcW w:w="616" w:type="pct"/>
                  <w:vMerge w:val="continue"/>
                  <w:tcBorders>
                    <w:tl2br w:val="nil"/>
                    <w:tr2bl w:val="nil"/>
                  </w:tcBorders>
                  <w:vAlign w:val="center"/>
                </w:tcPr>
                <w:p w14:paraId="66669E2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rPr>
                  </w:pPr>
                </w:p>
              </w:tc>
              <w:tc>
                <w:tcPr>
                  <w:tcW w:w="459" w:type="pct"/>
                  <w:tcBorders>
                    <w:tl2br w:val="nil"/>
                    <w:tr2bl w:val="nil"/>
                  </w:tcBorders>
                  <w:vAlign w:val="center"/>
                </w:tcPr>
                <w:p w14:paraId="307ECB2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lang w:eastAsia="zh-CN"/>
                    </w:rPr>
                  </w:pPr>
                  <w:r>
                    <w:rPr>
                      <w:rFonts w:hint="eastAsia"/>
                      <w:b w:val="0"/>
                      <w:bCs w:val="0"/>
                      <w:color w:val="auto"/>
                      <w:sz w:val="21"/>
                      <w:szCs w:val="21"/>
                      <w:lang w:eastAsia="zh-CN"/>
                    </w:rPr>
                    <w:t>西</w:t>
                  </w:r>
                </w:p>
              </w:tc>
              <w:tc>
                <w:tcPr>
                  <w:tcW w:w="518" w:type="pct"/>
                  <w:tcBorders>
                    <w:tl2br w:val="nil"/>
                    <w:tr2bl w:val="nil"/>
                  </w:tcBorders>
                  <w:vAlign w:val="center"/>
                </w:tcPr>
                <w:p w14:paraId="2619072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z w:val="21"/>
                      <w:szCs w:val="21"/>
                      <w:lang w:val="en-US" w:eastAsia="zh-CN"/>
                    </w:rPr>
                  </w:pPr>
                  <w:r>
                    <w:rPr>
                      <w:rFonts w:hint="eastAsia"/>
                      <w:b w:val="0"/>
                      <w:bCs w:val="0"/>
                      <w:color w:val="auto"/>
                      <w:sz w:val="21"/>
                      <w:szCs w:val="21"/>
                      <w:lang w:val="en-US" w:eastAsia="zh-CN"/>
                    </w:rPr>
                    <w:t>230</w:t>
                  </w:r>
                </w:p>
              </w:tc>
            </w:tr>
            <w:tr w14:paraId="4B3EF1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79" w:type="pct"/>
                  <w:vMerge w:val="continue"/>
                  <w:tcBorders>
                    <w:tl2br w:val="nil"/>
                    <w:tr2bl w:val="nil"/>
                  </w:tcBorders>
                  <w:vAlign w:val="center"/>
                </w:tcPr>
                <w:p w14:paraId="46131AF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lang w:eastAsia="zh-CN"/>
                    </w:rPr>
                  </w:pPr>
                </w:p>
              </w:tc>
              <w:tc>
                <w:tcPr>
                  <w:tcW w:w="467" w:type="pct"/>
                  <w:tcBorders>
                    <w:tl2br w:val="nil"/>
                    <w:tr2bl w:val="nil"/>
                  </w:tcBorders>
                  <w:vAlign w:val="center"/>
                </w:tcPr>
                <w:p w14:paraId="669D69D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lang w:eastAsia="zh-CN"/>
                    </w:rPr>
                  </w:pPr>
                  <w:r>
                    <w:rPr>
                      <w:rFonts w:hint="eastAsia"/>
                      <w:b w:val="0"/>
                      <w:bCs w:val="0"/>
                      <w:color w:val="auto"/>
                      <w:sz w:val="21"/>
                      <w:szCs w:val="21"/>
                      <w:lang w:eastAsia="zh-CN"/>
                    </w:rPr>
                    <w:t>佛坪县计划生育协会</w:t>
                  </w:r>
                </w:p>
              </w:tc>
              <w:tc>
                <w:tcPr>
                  <w:tcW w:w="690" w:type="pct"/>
                  <w:tcBorders>
                    <w:tl2br w:val="nil"/>
                    <w:tr2bl w:val="nil"/>
                  </w:tcBorders>
                  <w:vAlign w:val="center"/>
                </w:tcPr>
                <w:p w14:paraId="42BD753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107.986530</w:t>
                  </w:r>
                </w:p>
              </w:tc>
              <w:tc>
                <w:tcPr>
                  <w:tcW w:w="625" w:type="pct"/>
                  <w:tcBorders>
                    <w:tl2br w:val="nil"/>
                    <w:tr2bl w:val="nil"/>
                  </w:tcBorders>
                  <w:vAlign w:val="center"/>
                </w:tcPr>
                <w:p w14:paraId="109B0EF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33.528710</w:t>
                  </w:r>
                </w:p>
              </w:tc>
              <w:tc>
                <w:tcPr>
                  <w:tcW w:w="368" w:type="pct"/>
                  <w:tcBorders>
                    <w:tl2br w:val="nil"/>
                    <w:tr2bl w:val="nil"/>
                  </w:tcBorders>
                  <w:vAlign w:val="center"/>
                </w:tcPr>
                <w:p w14:paraId="28234C3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eastAsia="宋体" w:cs="Times New Roman"/>
                      <w:b w:val="0"/>
                      <w:bCs w:val="0"/>
                      <w:color w:val="auto"/>
                      <w:sz w:val="21"/>
                      <w:szCs w:val="21"/>
                      <w:lang w:eastAsia="zh-CN"/>
                    </w:rPr>
                    <w:t>职工</w:t>
                  </w:r>
                </w:p>
              </w:tc>
              <w:tc>
                <w:tcPr>
                  <w:tcW w:w="873" w:type="pct"/>
                  <w:tcBorders>
                    <w:tl2br w:val="nil"/>
                    <w:tr2bl w:val="nil"/>
                  </w:tcBorders>
                  <w:vAlign w:val="center"/>
                </w:tcPr>
                <w:p w14:paraId="40A3E5A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color w:val="auto"/>
                      <w:sz w:val="21"/>
                      <w:szCs w:val="21"/>
                      <w:lang w:val="en-US" w:eastAsia="zh-CN"/>
                    </w:rPr>
                  </w:pPr>
                  <w:r>
                    <w:rPr>
                      <w:rFonts w:hint="eastAsia"/>
                      <w:b w:val="0"/>
                      <w:bCs w:val="0"/>
                      <w:color w:val="auto"/>
                      <w:sz w:val="21"/>
                      <w:szCs w:val="21"/>
                      <w:lang w:val="en-US" w:eastAsia="zh-CN"/>
                    </w:rPr>
                    <w:t>35人</w:t>
                  </w:r>
                </w:p>
              </w:tc>
              <w:tc>
                <w:tcPr>
                  <w:tcW w:w="616" w:type="pct"/>
                  <w:vMerge w:val="continue"/>
                  <w:tcBorders>
                    <w:tl2br w:val="nil"/>
                    <w:tr2bl w:val="nil"/>
                  </w:tcBorders>
                  <w:vAlign w:val="center"/>
                </w:tcPr>
                <w:p w14:paraId="1EAEE8F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rPr>
                  </w:pPr>
                </w:p>
              </w:tc>
              <w:tc>
                <w:tcPr>
                  <w:tcW w:w="459" w:type="pct"/>
                  <w:tcBorders>
                    <w:tl2br w:val="nil"/>
                    <w:tr2bl w:val="nil"/>
                  </w:tcBorders>
                  <w:vAlign w:val="center"/>
                </w:tcPr>
                <w:p w14:paraId="5880F04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z w:val="21"/>
                      <w:szCs w:val="21"/>
                      <w:lang w:eastAsia="zh-CN"/>
                    </w:rPr>
                  </w:pPr>
                  <w:r>
                    <w:rPr>
                      <w:rFonts w:hint="eastAsia"/>
                      <w:b w:val="0"/>
                      <w:bCs w:val="0"/>
                      <w:color w:val="auto"/>
                      <w:sz w:val="21"/>
                      <w:szCs w:val="21"/>
                      <w:lang w:eastAsia="zh-CN"/>
                    </w:rPr>
                    <w:t>西南</w:t>
                  </w:r>
                </w:p>
              </w:tc>
              <w:tc>
                <w:tcPr>
                  <w:tcW w:w="518" w:type="pct"/>
                  <w:tcBorders>
                    <w:tl2br w:val="nil"/>
                    <w:tr2bl w:val="nil"/>
                  </w:tcBorders>
                  <w:vAlign w:val="center"/>
                </w:tcPr>
                <w:p w14:paraId="164606D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z w:val="21"/>
                      <w:szCs w:val="21"/>
                      <w:lang w:val="en-US" w:eastAsia="zh-CN"/>
                    </w:rPr>
                  </w:pPr>
                  <w:r>
                    <w:rPr>
                      <w:rFonts w:hint="eastAsia"/>
                      <w:b w:val="0"/>
                      <w:bCs w:val="0"/>
                      <w:color w:val="auto"/>
                      <w:sz w:val="21"/>
                      <w:szCs w:val="21"/>
                      <w:lang w:val="en-US" w:eastAsia="zh-CN"/>
                    </w:rPr>
                    <w:t>448</w:t>
                  </w:r>
                </w:p>
              </w:tc>
            </w:tr>
            <w:tr w14:paraId="7F7C6C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79" w:type="pct"/>
                  <w:tcBorders>
                    <w:tl2br w:val="nil"/>
                    <w:tr2bl w:val="nil"/>
                  </w:tcBorders>
                  <w:vAlign w:val="center"/>
                </w:tcPr>
                <w:p w14:paraId="528CB39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FF0000"/>
                      <w:sz w:val="21"/>
                      <w:szCs w:val="21"/>
                      <w:lang w:eastAsia="zh-CN"/>
                    </w:rPr>
                  </w:pPr>
                  <w:r>
                    <w:rPr>
                      <w:rFonts w:hint="eastAsia"/>
                      <w:b w:val="0"/>
                      <w:bCs w:val="0"/>
                      <w:color w:val="FF0000"/>
                      <w:sz w:val="21"/>
                      <w:szCs w:val="21"/>
                      <w:lang w:eastAsia="zh-CN"/>
                    </w:rPr>
                    <w:t>生态保护目标</w:t>
                  </w:r>
                </w:p>
              </w:tc>
              <w:tc>
                <w:tcPr>
                  <w:tcW w:w="467" w:type="pct"/>
                  <w:tcBorders>
                    <w:tl2br w:val="nil"/>
                    <w:tr2bl w:val="nil"/>
                  </w:tcBorders>
                  <w:vAlign w:val="center"/>
                </w:tcPr>
                <w:p w14:paraId="50212E6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FF0000"/>
                      <w:sz w:val="21"/>
                      <w:szCs w:val="21"/>
                      <w:lang w:eastAsia="zh-CN"/>
                    </w:rPr>
                  </w:pPr>
                  <w:r>
                    <w:rPr>
                      <w:rFonts w:hint="eastAsia"/>
                      <w:b w:val="0"/>
                      <w:bCs w:val="0"/>
                      <w:color w:val="FF0000"/>
                      <w:sz w:val="21"/>
                      <w:szCs w:val="21"/>
                      <w:lang w:eastAsia="zh-CN"/>
                    </w:rPr>
                    <w:t>引汉济渭水源地保护区</w:t>
                  </w:r>
                </w:p>
              </w:tc>
              <w:tc>
                <w:tcPr>
                  <w:tcW w:w="690" w:type="pct"/>
                  <w:tcBorders>
                    <w:tl2br w:val="nil"/>
                    <w:tr2bl w:val="nil"/>
                  </w:tcBorders>
                  <w:vAlign w:val="center"/>
                </w:tcPr>
                <w:p w14:paraId="754BCFB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FF0000"/>
                      <w:sz w:val="21"/>
                      <w:szCs w:val="21"/>
                      <w:lang w:val="en-US" w:eastAsia="zh-CN"/>
                    </w:rPr>
                  </w:pPr>
                  <w:r>
                    <w:rPr>
                      <w:rFonts w:hint="eastAsia" w:cs="Times New Roman"/>
                      <w:b w:val="0"/>
                      <w:bCs w:val="0"/>
                      <w:color w:val="FF0000"/>
                      <w:sz w:val="21"/>
                      <w:szCs w:val="21"/>
                      <w:lang w:val="en-US" w:eastAsia="zh-CN"/>
                    </w:rPr>
                    <w:t>/</w:t>
                  </w:r>
                </w:p>
              </w:tc>
              <w:tc>
                <w:tcPr>
                  <w:tcW w:w="625" w:type="pct"/>
                  <w:tcBorders>
                    <w:tl2br w:val="nil"/>
                    <w:tr2bl w:val="nil"/>
                  </w:tcBorders>
                  <w:vAlign w:val="center"/>
                </w:tcPr>
                <w:p w14:paraId="5FB5303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FF0000"/>
                      <w:sz w:val="21"/>
                      <w:szCs w:val="21"/>
                      <w:lang w:val="en-US" w:eastAsia="zh-CN"/>
                    </w:rPr>
                  </w:pPr>
                  <w:r>
                    <w:rPr>
                      <w:rFonts w:hint="eastAsia" w:cs="Times New Roman"/>
                      <w:b w:val="0"/>
                      <w:bCs w:val="0"/>
                      <w:color w:val="FF0000"/>
                      <w:sz w:val="21"/>
                      <w:szCs w:val="21"/>
                      <w:lang w:val="en-US" w:eastAsia="zh-CN"/>
                    </w:rPr>
                    <w:t>/</w:t>
                  </w:r>
                </w:p>
              </w:tc>
              <w:tc>
                <w:tcPr>
                  <w:tcW w:w="368" w:type="pct"/>
                  <w:tcBorders>
                    <w:tl2br w:val="nil"/>
                    <w:tr2bl w:val="nil"/>
                  </w:tcBorders>
                  <w:vAlign w:val="center"/>
                </w:tcPr>
                <w:p w14:paraId="5050BA6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FF0000"/>
                      <w:sz w:val="21"/>
                      <w:szCs w:val="21"/>
                      <w:lang w:val="en-US" w:eastAsia="zh-CN"/>
                    </w:rPr>
                  </w:pPr>
                  <w:r>
                    <w:rPr>
                      <w:rFonts w:hint="eastAsia" w:cs="Times New Roman"/>
                      <w:b w:val="0"/>
                      <w:bCs w:val="0"/>
                      <w:color w:val="FF0000"/>
                      <w:sz w:val="21"/>
                      <w:szCs w:val="21"/>
                      <w:lang w:val="en-US" w:eastAsia="zh-CN"/>
                    </w:rPr>
                    <w:t>/</w:t>
                  </w:r>
                </w:p>
              </w:tc>
              <w:tc>
                <w:tcPr>
                  <w:tcW w:w="873" w:type="pct"/>
                  <w:tcBorders>
                    <w:tl2br w:val="nil"/>
                    <w:tr2bl w:val="nil"/>
                  </w:tcBorders>
                  <w:vAlign w:val="center"/>
                </w:tcPr>
                <w:p w14:paraId="18F116F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FF0000"/>
                      <w:sz w:val="21"/>
                      <w:szCs w:val="21"/>
                      <w:lang w:val="en-US" w:eastAsia="zh-CN"/>
                    </w:rPr>
                  </w:pPr>
                  <w:r>
                    <w:rPr>
                      <w:rFonts w:hint="eastAsia"/>
                      <w:b w:val="0"/>
                      <w:bCs w:val="0"/>
                      <w:color w:val="FF0000"/>
                      <w:sz w:val="21"/>
                      <w:szCs w:val="21"/>
                      <w:lang w:val="en-US" w:eastAsia="zh-CN"/>
                    </w:rPr>
                    <w:t>/</w:t>
                  </w:r>
                </w:p>
              </w:tc>
              <w:tc>
                <w:tcPr>
                  <w:tcW w:w="1594" w:type="pct"/>
                  <w:gridSpan w:val="3"/>
                  <w:tcBorders>
                    <w:tl2br w:val="nil"/>
                    <w:tr2bl w:val="nil"/>
                  </w:tcBorders>
                  <w:vAlign w:val="center"/>
                </w:tcPr>
                <w:p w14:paraId="4D09E93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FF0000"/>
                      <w:sz w:val="21"/>
                      <w:szCs w:val="21"/>
                      <w:lang w:val="en-US" w:eastAsia="zh-CN"/>
                    </w:rPr>
                  </w:pPr>
                  <w:r>
                    <w:rPr>
                      <w:rFonts w:hint="eastAsia"/>
                      <w:b w:val="0"/>
                      <w:bCs w:val="0"/>
                      <w:color w:val="FF0000"/>
                      <w:sz w:val="21"/>
                      <w:szCs w:val="21"/>
                      <w:lang w:eastAsia="zh-CN"/>
                    </w:rPr>
                    <w:t>项目位于引汉济渭水源地保护区准保护区范围内</w:t>
                  </w:r>
                </w:p>
              </w:tc>
            </w:tr>
            <w:bookmarkEnd w:id="36"/>
          </w:tbl>
          <w:p w14:paraId="2341B6D5">
            <w:pPr>
              <w:bidi w:val="0"/>
              <w:rPr>
                <w:rFonts w:ascii="Times New Roman" w:hAnsi="Times New Roman" w:eastAsia="宋体"/>
                <w:color w:val="auto"/>
                <w:highlight w:val="none"/>
              </w:rPr>
            </w:pPr>
          </w:p>
        </w:tc>
      </w:tr>
      <w:tr w14:paraId="1DB567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noWrap w:val="0"/>
            <w:tcMar>
              <w:left w:w="28" w:type="dxa"/>
              <w:right w:w="28" w:type="dxa"/>
            </w:tcMar>
            <w:vAlign w:val="center"/>
          </w:tcPr>
          <w:p w14:paraId="6DAD26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宋体"/>
                <w:color w:val="auto"/>
                <w:kern w:val="0"/>
                <w:szCs w:val="21"/>
                <w:highlight w:val="none"/>
              </w:rPr>
            </w:pPr>
            <w:r>
              <w:rPr>
                <w:rFonts w:hint="eastAsia" w:ascii="Times New Roman" w:hAnsi="Times New Roman" w:eastAsia="宋体" w:cs="宋体"/>
                <w:color w:val="auto"/>
                <w:kern w:val="0"/>
                <w:szCs w:val="21"/>
                <w:highlight w:val="none"/>
              </w:rPr>
              <w:t>污染物排放控制标准</w:t>
            </w:r>
          </w:p>
        </w:tc>
        <w:tc>
          <w:tcPr>
            <w:tcW w:w="9321" w:type="dxa"/>
            <w:noWrap w:val="0"/>
            <w:vAlign w:val="center"/>
          </w:tcPr>
          <w:p w14:paraId="14ADB779">
            <w:pPr>
              <w:adjustRightInd w:val="0"/>
              <w:snapToGrid w:val="0"/>
              <w:spacing w:line="360" w:lineRule="auto"/>
              <w:ind w:firstLine="482" w:firstLineChars="200"/>
              <w:rPr>
                <w:rFonts w:ascii="Times New Roman" w:hAnsi="Times New Roman" w:eastAsia="宋体"/>
                <w:b/>
                <w:bCs/>
                <w:snapToGrid w:val="0"/>
                <w:color w:val="auto"/>
                <w:kern w:val="0"/>
                <w:sz w:val="24"/>
                <w:szCs w:val="24"/>
                <w:highlight w:val="none"/>
              </w:rPr>
            </w:pPr>
            <w:r>
              <w:rPr>
                <w:rFonts w:hint="eastAsia" w:ascii="Times New Roman" w:hAnsi="Times New Roman" w:eastAsia="宋体"/>
                <w:b/>
                <w:bCs/>
                <w:snapToGrid w:val="0"/>
                <w:color w:val="auto"/>
                <w:kern w:val="0"/>
                <w:sz w:val="24"/>
                <w:szCs w:val="24"/>
                <w:highlight w:val="none"/>
                <w:lang w:val="en-US" w:eastAsia="zh-CN"/>
              </w:rPr>
              <w:t>3.</w:t>
            </w:r>
            <w:r>
              <w:rPr>
                <w:rFonts w:hint="eastAsia"/>
                <w:b/>
                <w:bCs/>
                <w:snapToGrid w:val="0"/>
                <w:color w:val="auto"/>
                <w:kern w:val="0"/>
                <w:sz w:val="24"/>
                <w:szCs w:val="24"/>
                <w:highlight w:val="none"/>
                <w:lang w:val="en-US" w:eastAsia="zh-CN"/>
              </w:rPr>
              <w:t>7</w:t>
            </w:r>
            <w:r>
              <w:rPr>
                <w:rFonts w:hint="eastAsia" w:ascii="Times New Roman" w:hAnsi="Times New Roman"/>
                <w:b/>
                <w:bCs/>
                <w:snapToGrid w:val="0"/>
                <w:color w:val="auto"/>
                <w:kern w:val="0"/>
                <w:sz w:val="24"/>
                <w:szCs w:val="24"/>
                <w:highlight w:val="none"/>
                <w:lang w:eastAsia="zh-CN"/>
              </w:rPr>
              <w:t>施工</w:t>
            </w:r>
            <w:r>
              <w:rPr>
                <w:rFonts w:ascii="Times New Roman" w:hAnsi="Times New Roman" w:eastAsia="宋体"/>
                <w:b/>
                <w:bCs/>
                <w:snapToGrid w:val="0"/>
                <w:color w:val="auto"/>
                <w:kern w:val="0"/>
                <w:sz w:val="24"/>
                <w:szCs w:val="24"/>
                <w:highlight w:val="none"/>
              </w:rPr>
              <w:t>期污染物排放标准</w:t>
            </w:r>
          </w:p>
          <w:p w14:paraId="395A00A1">
            <w:pPr>
              <w:adjustRightInd w:val="0"/>
              <w:snapToGrid w:val="0"/>
              <w:spacing w:line="360" w:lineRule="auto"/>
              <w:ind w:firstLine="480" w:firstLineChars="200"/>
              <w:rPr>
                <w:rFonts w:hint="eastAsia"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auto"/>
                <w:kern w:val="0"/>
                <w:sz w:val="24"/>
                <w:szCs w:val="24"/>
                <w:highlight w:val="none"/>
                <w:lang w:val="en-US" w:eastAsia="zh-CN" w:bidi="ar"/>
              </w:rPr>
              <w:t>本项目施工期噪声执行《建筑施工噪声排放标准》（GB12523-2025）中限值要求。具体标准值见下表：</w:t>
            </w:r>
          </w:p>
          <w:p w14:paraId="342D61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表</w:t>
            </w:r>
            <w:r>
              <w:rPr>
                <w:rFonts w:hint="eastAsia" w:ascii="Times New Roman" w:hAnsi="Times New Roman" w:eastAsia="宋体"/>
                <w:b/>
                <w:bCs/>
                <w:color w:val="auto"/>
                <w:kern w:val="0"/>
                <w:sz w:val="21"/>
                <w:szCs w:val="21"/>
                <w:highlight w:val="none"/>
                <w:lang w:val="en-US" w:eastAsia="zh-CN"/>
              </w:rPr>
              <w:t>3-4</w:t>
            </w:r>
            <w:r>
              <w:rPr>
                <w:rFonts w:ascii="Times New Roman" w:hAnsi="Times New Roman" w:eastAsia="宋体"/>
                <w:b/>
                <w:bCs/>
                <w:color w:val="auto"/>
                <w:kern w:val="0"/>
                <w:sz w:val="21"/>
                <w:szCs w:val="21"/>
                <w:highlight w:val="none"/>
              </w:rPr>
              <w:t xml:space="preserve"> </w:t>
            </w:r>
            <w:r>
              <w:rPr>
                <w:rFonts w:hint="eastAsia" w:ascii="Times New Roman" w:hAnsi="Times New Roman" w:eastAsia="宋体"/>
                <w:b/>
                <w:bCs/>
                <w:color w:val="auto"/>
                <w:kern w:val="0"/>
                <w:sz w:val="21"/>
                <w:szCs w:val="21"/>
                <w:highlight w:val="none"/>
                <w:lang w:eastAsia="zh-CN"/>
              </w:rPr>
              <w:t>施工期</w:t>
            </w:r>
            <w:r>
              <w:rPr>
                <w:rFonts w:ascii="Times New Roman" w:hAnsi="Times New Roman" w:eastAsia="宋体"/>
                <w:b/>
                <w:bCs/>
                <w:color w:val="auto"/>
                <w:kern w:val="0"/>
                <w:sz w:val="21"/>
                <w:szCs w:val="21"/>
                <w:highlight w:val="none"/>
              </w:rPr>
              <w:t>噪声排放标准</w:t>
            </w:r>
          </w:p>
          <w:tbl>
            <w:tblPr>
              <w:tblStyle w:val="25"/>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95"/>
              <w:gridCol w:w="2652"/>
              <w:gridCol w:w="1160"/>
              <w:gridCol w:w="1467"/>
              <w:gridCol w:w="811"/>
              <w:gridCol w:w="746"/>
              <w:gridCol w:w="1042"/>
            </w:tblGrid>
            <w:tr w14:paraId="2DBFA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58" w:type="pct"/>
                  <w:vMerge w:val="restart"/>
                  <w:tcBorders>
                    <w:tl2br w:val="nil"/>
                    <w:tr2bl w:val="nil"/>
                  </w:tcBorders>
                  <w:noWrap w:val="0"/>
                  <w:vAlign w:val="center"/>
                </w:tcPr>
                <w:p w14:paraId="66801F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b/>
                      <w:bCs/>
                      <w:color w:val="auto"/>
                      <w:kern w:val="0"/>
                      <w:sz w:val="21"/>
                      <w:szCs w:val="21"/>
                      <w:highlight w:val="none"/>
                    </w:rPr>
                  </w:pPr>
                  <w:r>
                    <w:rPr>
                      <w:rFonts w:hint="eastAsia" w:ascii="Times New Roman" w:hAnsi="Times New Roman" w:eastAsia="宋体" w:cs="宋体"/>
                      <w:b/>
                      <w:bCs/>
                      <w:color w:val="auto"/>
                      <w:kern w:val="0"/>
                      <w:sz w:val="21"/>
                      <w:szCs w:val="21"/>
                      <w:highlight w:val="none"/>
                      <w:lang w:val="en-US" w:eastAsia="zh-CN" w:bidi="ar"/>
                    </w:rPr>
                    <w:t>阶段</w:t>
                  </w:r>
                </w:p>
              </w:tc>
              <w:tc>
                <w:tcPr>
                  <w:tcW w:w="1461" w:type="pct"/>
                  <w:vMerge w:val="restart"/>
                  <w:tcBorders>
                    <w:tl2br w:val="nil"/>
                    <w:tr2bl w:val="nil"/>
                  </w:tcBorders>
                  <w:noWrap w:val="0"/>
                  <w:vAlign w:val="center"/>
                </w:tcPr>
                <w:p w14:paraId="6EB38A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执行标准名称及标准号</w:t>
                  </w:r>
                </w:p>
              </w:tc>
              <w:tc>
                <w:tcPr>
                  <w:tcW w:w="639" w:type="pct"/>
                  <w:vMerge w:val="restart"/>
                  <w:tcBorders>
                    <w:tl2br w:val="nil"/>
                    <w:tr2bl w:val="nil"/>
                  </w:tcBorders>
                  <w:noWrap w:val="0"/>
                  <w:vAlign w:val="center"/>
                </w:tcPr>
                <w:p w14:paraId="281E26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bCs/>
                      <w:color w:val="auto"/>
                      <w:kern w:val="0"/>
                      <w:sz w:val="21"/>
                      <w:szCs w:val="21"/>
                      <w:highlight w:val="none"/>
                      <w:lang w:eastAsia="zh-CN"/>
                    </w:rPr>
                  </w:pPr>
                  <w:r>
                    <w:rPr>
                      <w:rFonts w:hint="eastAsia" w:ascii="Times New Roman" w:hAnsi="Times New Roman" w:eastAsia="宋体"/>
                      <w:b/>
                      <w:bCs/>
                      <w:color w:val="auto"/>
                      <w:kern w:val="0"/>
                      <w:sz w:val="21"/>
                      <w:szCs w:val="21"/>
                      <w:highlight w:val="none"/>
                      <w:lang w:eastAsia="zh-CN"/>
                    </w:rPr>
                    <w:t>监控点位</w:t>
                  </w:r>
                </w:p>
              </w:tc>
              <w:tc>
                <w:tcPr>
                  <w:tcW w:w="808" w:type="pct"/>
                  <w:vMerge w:val="restart"/>
                  <w:tcBorders>
                    <w:tl2br w:val="nil"/>
                    <w:tr2bl w:val="nil"/>
                  </w:tcBorders>
                  <w:noWrap w:val="0"/>
                  <w:vAlign w:val="center"/>
                </w:tcPr>
                <w:p w14:paraId="74D769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项目</w:t>
                  </w:r>
                </w:p>
              </w:tc>
              <w:tc>
                <w:tcPr>
                  <w:tcW w:w="1432" w:type="pct"/>
                  <w:gridSpan w:val="3"/>
                  <w:tcBorders>
                    <w:tl2br w:val="nil"/>
                    <w:tr2bl w:val="nil"/>
                  </w:tcBorders>
                  <w:noWrap w:val="0"/>
                  <w:vAlign w:val="center"/>
                </w:tcPr>
                <w:p w14:paraId="05E634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标准值</w:t>
                  </w:r>
                </w:p>
              </w:tc>
            </w:tr>
            <w:tr w14:paraId="4D8FB9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58" w:type="pct"/>
                  <w:vMerge w:val="continue"/>
                  <w:tcBorders>
                    <w:tl2br w:val="nil"/>
                    <w:tr2bl w:val="nil"/>
                  </w:tcBorders>
                  <w:noWrap w:val="0"/>
                  <w:vAlign w:val="center"/>
                </w:tcPr>
                <w:p w14:paraId="15940D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b/>
                      <w:bCs/>
                      <w:color w:val="auto"/>
                      <w:kern w:val="0"/>
                      <w:sz w:val="21"/>
                      <w:szCs w:val="21"/>
                      <w:highlight w:val="none"/>
                    </w:rPr>
                  </w:pPr>
                </w:p>
              </w:tc>
              <w:tc>
                <w:tcPr>
                  <w:tcW w:w="1461" w:type="pct"/>
                  <w:vMerge w:val="continue"/>
                  <w:tcBorders>
                    <w:tl2br w:val="nil"/>
                    <w:tr2bl w:val="nil"/>
                  </w:tcBorders>
                  <w:noWrap w:val="0"/>
                  <w:vAlign w:val="center"/>
                </w:tcPr>
                <w:p w14:paraId="5AFF10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b/>
                      <w:bCs/>
                      <w:color w:val="auto"/>
                      <w:kern w:val="0"/>
                      <w:sz w:val="21"/>
                      <w:szCs w:val="21"/>
                      <w:highlight w:val="none"/>
                    </w:rPr>
                  </w:pPr>
                </w:p>
              </w:tc>
              <w:tc>
                <w:tcPr>
                  <w:tcW w:w="639" w:type="pct"/>
                  <w:vMerge w:val="continue"/>
                  <w:tcBorders>
                    <w:tl2br w:val="nil"/>
                    <w:tr2bl w:val="nil"/>
                  </w:tcBorders>
                  <w:noWrap w:val="0"/>
                  <w:vAlign w:val="center"/>
                </w:tcPr>
                <w:p w14:paraId="7258D5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b/>
                      <w:bCs/>
                      <w:color w:val="auto"/>
                      <w:kern w:val="0"/>
                      <w:sz w:val="21"/>
                      <w:szCs w:val="21"/>
                      <w:highlight w:val="none"/>
                    </w:rPr>
                  </w:pPr>
                </w:p>
              </w:tc>
              <w:tc>
                <w:tcPr>
                  <w:tcW w:w="808" w:type="pct"/>
                  <w:vMerge w:val="continue"/>
                  <w:tcBorders>
                    <w:tl2br w:val="nil"/>
                    <w:tr2bl w:val="nil"/>
                  </w:tcBorders>
                  <w:noWrap w:val="0"/>
                  <w:vAlign w:val="center"/>
                </w:tcPr>
                <w:p w14:paraId="07A4A3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b/>
                      <w:bCs/>
                      <w:color w:val="auto"/>
                      <w:kern w:val="0"/>
                      <w:sz w:val="21"/>
                      <w:szCs w:val="21"/>
                      <w:highlight w:val="none"/>
                    </w:rPr>
                  </w:pPr>
                </w:p>
              </w:tc>
              <w:tc>
                <w:tcPr>
                  <w:tcW w:w="447" w:type="pct"/>
                  <w:tcBorders>
                    <w:tl2br w:val="nil"/>
                    <w:tr2bl w:val="nil"/>
                  </w:tcBorders>
                  <w:noWrap w:val="0"/>
                  <w:vAlign w:val="center"/>
                </w:tcPr>
                <w:p w14:paraId="58CF18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昼间</w:t>
                  </w:r>
                </w:p>
              </w:tc>
              <w:tc>
                <w:tcPr>
                  <w:tcW w:w="411" w:type="pct"/>
                  <w:tcBorders>
                    <w:tl2br w:val="nil"/>
                    <w:tr2bl w:val="nil"/>
                  </w:tcBorders>
                  <w:noWrap w:val="0"/>
                  <w:vAlign w:val="center"/>
                </w:tcPr>
                <w:p w14:paraId="44F81A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夜间</w:t>
                  </w:r>
                </w:p>
              </w:tc>
              <w:tc>
                <w:tcPr>
                  <w:tcW w:w="572" w:type="pct"/>
                  <w:tcBorders>
                    <w:tl2br w:val="nil"/>
                    <w:tr2bl w:val="nil"/>
                  </w:tcBorders>
                  <w:noWrap w:val="0"/>
                  <w:vAlign w:val="center"/>
                </w:tcPr>
                <w:p w14:paraId="45190D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单位</w:t>
                  </w:r>
                </w:p>
              </w:tc>
            </w:tr>
            <w:tr w14:paraId="1CB78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658" w:type="pct"/>
                  <w:tcBorders>
                    <w:tl2br w:val="nil"/>
                    <w:tr2bl w:val="nil"/>
                  </w:tcBorders>
                  <w:shd w:val="clear" w:color="auto" w:fill="auto"/>
                  <w:noWrap w:val="0"/>
                  <w:vAlign w:val="center"/>
                </w:tcPr>
                <w:p w14:paraId="04A41E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olor w:val="auto"/>
                      <w:kern w:val="0"/>
                      <w:sz w:val="21"/>
                      <w:szCs w:val="21"/>
                      <w:highlight w:val="none"/>
                      <w:lang w:val="en-US" w:eastAsia="zh-CN"/>
                    </w:rPr>
                  </w:pPr>
                  <w:r>
                    <w:rPr>
                      <w:rFonts w:hint="eastAsia" w:ascii="Times New Roman" w:hAnsi="Times New Roman" w:eastAsia="宋体"/>
                      <w:color w:val="auto"/>
                      <w:kern w:val="0"/>
                      <w:sz w:val="21"/>
                      <w:szCs w:val="21"/>
                      <w:highlight w:val="none"/>
                      <w:lang w:val="en-US" w:eastAsia="zh-CN"/>
                    </w:rPr>
                    <w:t>施工期</w:t>
                  </w:r>
                </w:p>
              </w:tc>
              <w:tc>
                <w:tcPr>
                  <w:tcW w:w="1461" w:type="pct"/>
                  <w:tcBorders>
                    <w:tl2br w:val="nil"/>
                    <w:tr2bl w:val="nil"/>
                  </w:tcBorders>
                  <w:noWrap w:val="0"/>
                  <w:vAlign w:val="center"/>
                </w:tcPr>
                <w:p w14:paraId="0DB0EA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kern w:val="0"/>
                      <w:sz w:val="21"/>
                      <w:szCs w:val="21"/>
                      <w:highlight w:val="none"/>
                    </w:rPr>
                  </w:pPr>
                  <w:r>
                    <w:rPr>
                      <w:rFonts w:ascii="Times New Roman" w:hAnsi="Times New Roman" w:eastAsia="宋体"/>
                      <w:color w:val="auto"/>
                      <w:kern w:val="0"/>
                      <w:sz w:val="21"/>
                      <w:szCs w:val="21"/>
                      <w:highlight w:val="none"/>
                    </w:rPr>
                    <w:t>《建筑施工噪声排放标准》（GB12523-20</w:t>
                  </w:r>
                  <w:r>
                    <w:rPr>
                      <w:rFonts w:hint="eastAsia" w:ascii="Times New Roman" w:hAnsi="Times New Roman" w:eastAsia="宋体"/>
                      <w:color w:val="auto"/>
                      <w:kern w:val="0"/>
                      <w:sz w:val="21"/>
                      <w:szCs w:val="21"/>
                      <w:highlight w:val="none"/>
                      <w:lang w:val="en-US" w:eastAsia="zh-CN"/>
                    </w:rPr>
                    <w:t>25</w:t>
                  </w:r>
                  <w:r>
                    <w:rPr>
                      <w:rFonts w:ascii="Times New Roman" w:hAnsi="Times New Roman" w:eastAsia="宋体"/>
                      <w:color w:val="auto"/>
                      <w:kern w:val="0"/>
                      <w:sz w:val="21"/>
                      <w:szCs w:val="21"/>
                      <w:highlight w:val="none"/>
                    </w:rPr>
                    <w:t>）</w:t>
                  </w:r>
                </w:p>
              </w:tc>
              <w:tc>
                <w:tcPr>
                  <w:tcW w:w="639" w:type="pct"/>
                  <w:tcBorders>
                    <w:tl2br w:val="nil"/>
                    <w:tr2bl w:val="nil"/>
                  </w:tcBorders>
                  <w:noWrap w:val="0"/>
                  <w:vAlign w:val="center"/>
                </w:tcPr>
                <w:p w14:paraId="53022F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olor w:val="auto"/>
                      <w:kern w:val="0"/>
                      <w:sz w:val="21"/>
                      <w:szCs w:val="21"/>
                      <w:highlight w:val="none"/>
                      <w:lang w:val="en-US" w:eastAsia="zh-CN"/>
                    </w:rPr>
                  </w:pPr>
                  <w:r>
                    <w:rPr>
                      <w:rFonts w:hint="eastAsia" w:ascii="Times New Roman" w:hAnsi="Times New Roman" w:eastAsia="宋体"/>
                      <w:color w:val="auto"/>
                      <w:kern w:val="0"/>
                      <w:sz w:val="21"/>
                      <w:szCs w:val="21"/>
                      <w:highlight w:val="none"/>
                      <w:lang w:eastAsia="zh-CN"/>
                    </w:rPr>
                    <w:t>厂界</w:t>
                  </w:r>
                </w:p>
              </w:tc>
              <w:tc>
                <w:tcPr>
                  <w:tcW w:w="808" w:type="pct"/>
                  <w:tcBorders>
                    <w:tl2br w:val="nil"/>
                    <w:tr2bl w:val="nil"/>
                  </w:tcBorders>
                  <w:noWrap w:val="0"/>
                  <w:vAlign w:val="center"/>
                </w:tcPr>
                <w:p w14:paraId="040407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kern w:val="0"/>
                      <w:sz w:val="21"/>
                      <w:szCs w:val="21"/>
                      <w:highlight w:val="none"/>
                    </w:rPr>
                  </w:pPr>
                  <w:r>
                    <w:rPr>
                      <w:rFonts w:ascii="Times New Roman" w:hAnsi="Times New Roman" w:eastAsia="宋体"/>
                      <w:color w:val="auto"/>
                      <w:kern w:val="0"/>
                      <w:sz w:val="21"/>
                      <w:szCs w:val="21"/>
                      <w:highlight w:val="none"/>
                    </w:rPr>
                    <w:t>等效声级LA</w:t>
                  </w:r>
                </w:p>
              </w:tc>
              <w:tc>
                <w:tcPr>
                  <w:tcW w:w="447" w:type="pct"/>
                  <w:tcBorders>
                    <w:tl2br w:val="nil"/>
                    <w:tr2bl w:val="nil"/>
                  </w:tcBorders>
                  <w:noWrap w:val="0"/>
                  <w:vAlign w:val="center"/>
                </w:tcPr>
                <w:p w14:paraId="707FD7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olor w:val="auto"/>
                      <w:kern w:val="0"/>
                      <w:sz w:val="21"/>
                      <w:szCs w:val="21"/>
                      <w:highlight w:val="none"/>
                      <w:lang w:val="en-US" w:eastAsia="zh-CN"/>
                    </w:rPr>
                  </w:pPr>
                  <w:r>
                    <w:rPr>
                      <w:rFonts w:hint="eastAsia" w:ascii="Times New Roman" w:hAnsi="Times New Roman" w:eastAsia="宋体"/>
                      <w:color w:val="auto"/>
                      <w:kern w:val="0"/>
                      <w:sz w:val="21"/>
                      <w:szCs w:val="21"/>
                      <w:highlight w:val="none"/>
                      <w:lang w:val="en-US" w:eastAsia="zh-CN"/>
                    </w:rPr>
                    <w:t>70</w:t>
                  </w:r>
                </w:p>
              </w:tc>
              <w:tc>
                <w:tcPr>
                  <w:tcW w:w="411" w:type="pct"/>
                  <w:tcBorders>
                    <w:tl2br w:val="nil"/>
                    <w:tr2bl w:val="nil"/>
                  </w:tcBorders>
                  <w:noWrap w:val="0"/>
                  <w:vAlign w:val="center"/>
                </w:tcPr>
                <w:p w14:paraId="311261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olor w:val="auto"/>
                      <w:kern w:val="0"/>
                      <w:sz w:val="21"/>
                      <w:szCs w:val="21"/>
                      <w:highlight w:val="none"/>
                      <w:lang w:val="en-US" w:eastAsia="zh-CN"/>
                    </w:rPr>
                  </w:pPr>
                  <w:r>
                    <w:rPr>
                      <w:rFonts w:hint="eastAsia" w:ascii="Times New Roman" w:hAnsi="Times New Roman" w:eastAsia="宋体"/>
                      <w:color w:val="auto"/>
                      <w:kern w:val="0"/>
                      <w:sz w:val="21"/>
                      <w:szCs w:val="21"/>
                      <w:highlight w:val="none"/>
                      <w:lang w:val="en-US" w:eastAsia="zh-CN"/>
                    </w:rPr>
                    <w:t>55</w:t>
                  </w:r>
                </w:p>
              </w:tc>
              <w:tc>
                <w:tcPr>
                  <w:tcW w:w="572" w:type="pct"/>
                  <w:tcBorders>
                    <w:tl2br w:val="nil"/>
                    <w:tr2bl w:val="nil"/>
                  </w:tcBorders>
                  <w:noWrap w:val="0"/>
                  <w:vAlign w:val="center"/>
                </w:tcPr>
                <w:p w14:paraId="5D04A5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kern w:val="0"/>
                      <w:sz w:val="21"/>
                      <w:szCs w:val="21"/>
                      <w:highlight w:val="none"/>
                      <w:lang w:val="en-US" w:eastAsia="zh-CN"/>
                    </w:rPr>
                  </w:pPr>
                  <w:r>
                    <w:rPr>
                      <w:rFonts w:ascii="Times New Roman" w:hAnsi="Times New Roman" w:eastAsia="宋体"/>
                      <w:color w:val="auto"/>
                      <w:kern w:val="0"/>
                      <w:sz w:val="21"/>
                      <w:szCs w:val="21"/>
                      <w:highlight w:val="none"/>
                    </w:rPr>
                    <w:t>dB（A）</w:t>
                  </w:r>
                </w:p>
              </w:tc>
            </w:tr>
          </w:tbl>
          <w:p w14:paraId="6F8D5888">
            <w:pPr>
              <w:adjustRightInd w:val="0"/>
              <w:snapToGrid w:val="0"/>
              <w:spacing w:line="360" w:lineRule="auto"/>
              <w:ind w:firstLine="482" w:firstLineChars="200"/>
              <w:rPr>
                <w:rFonts w:ascii="Times New Roman" w:hAnsi="Times New Roman" w:eastAsia="宋体"/>
                <w:b/>
                <w:bCs/>
                <w:snapToGrid w:val="0"/>
                <w:color w:val="auto"/>
                <w:kern w:val="0"/>
                <w:sz w:val="24"/>
                <w:szCs w:val="24"/>
                <w:highlight w:val="none"/>
              </w:rPr>
            </w:pPr>
            <w:r>
              <w:rPr>
                <w:rFonts w:hint="eastAsia" w:ascii="Times New Roman" w:hAnsi="Times New Roman" w:eastAsia="宋体"/>
                <w:b/>
                <w:bCs/>
                <w:snapToGrid w:val="0"/>
                <w:color w:val="auto"/>
                <w:kern w:val="0"/>
                <w:sz w:val="24"/>
                <w:szCs w:val="24"/>
                <w:highlight w:val="none"/>
                <w:lang w:val="en-US" w:eastAsia="zh-CN"/>
              </w:rPr>
              <w:t>3.</w:t>
            </w:r>
            <w:r>
              <w:rPr>
                <w:rFonts w:hint="eastAsia"/>
                <w:b/>
                <w:bCs/>
                <w:snapToGrid w:val="0"/>
                <w:color w:val="auto"/>
                <w:kern w:val="0"/>
                <w:sz w:val="24"/>
                <w:szCs w:val="24"/>
                <w:highlight w:val="none"/>
                <w:lang w:val="en-US" w:eastAsia="zh-CN"/>
              </w:rPr>
              <w:t>8</w:t>
            </w:r>
            <w:r>
              <w:rPr>
                <w:rFonts w:ascii="Times New Roman" w:hAnsi="Times New Roman" w:eastAsia="宋体"/>
                <w:b/>
                <w:bCs/>
                <w:snapToGrid w:val="0"/>
                <w:color w:val="auto"/>
                <w:kern w:val="0"/>
                <w:sz w:val="24"/>
                <w:szCs w:val="24"/>
                <w:highlight w:val="none"/>
              </w:rPr>
              <w:t>运营期污染物排放标准</w:t>
            </w:r>
          </w:p>
          <w:p w14:paraId="236FCE06">
            <w:pPr>
              <w:bidi w:val="0"/>
              <w:rPr>
                <w:rFonts w:ascii="Times New Roman" w:hAnsi="Times New Roman" w:eastAsia="宋体"/>
                <w:b/>
                <w:bCs/>
                <w:color w:val="auto"/>
                <w:highlight w:val="none"/>
              </w:rPr>
            </w:pPr>
            <w:r>
              <w:rPr>
                <w:rFonts w:ascii="Times New Roman" w:hAnsi="Times New Roman" w:eastAsia="宋体"/>
                <w:b/>
                <w:bCs/>
                <w:color w:val="auto"/>
                <w:highlight w:val="none"/>
              </w:rPr>
              <w:t>（1）废气</w:t>
            </w:r>
          </w:p>
          <w:p w14:paraId="7461F88E">
            <w:pPr>
              <w:spacing w:line="360" w:lineRule="auto"/>
              <w:ind w:firstLine="480" w:firstLineChars="200"/>
              <w:rPr>
                <w:rFonts w:hint="eastAsia" w:eastAsia="宋体"/>
                <w:color w:val="auto"/>
                <w:sz w:val="24"/>
                <w:lang w:val="en-US" w:eastAsia="zh-CN"/>
              </w:rPr>
            </w:pPr>
            <w:r>
              <w:rPr>
                <w:rFonts w:hint="eastAsia"/>
                <w:color w:val="auto"/>
                <w:sz w:val="24"/>
                <w:lang w:eastAsia="zh-CN"/>
              </w:rPr>
              <w:t>本项目</w:t>
            </w:r>
            <w:r>
              <w:rPr>
                <w:rFonts w:hint="eastAsia" w:ascii="Times New Roman" w:hAnsi="Times New Roman" w:eastAsia="宋体" w:cs="Times New Roman"/>
                <w:color w:val="auto"/>
                <w:sz w:val="24"/>
                <w:highlight w:val="none"/>
                <w:lang w:val="en-US" w:eastAsia="zh-CN"/>
              </w:rPr>
              <w:t>运营期废气主要为发酵车间产生的少量有机废气（主要成分是乙醇，以非甲烷总烃表征）及过滤残渣堆存过程产生的异味（</w:t>
            </w:r>
            <w:r>
              <w:rPr>
                <w:rFonts w:hint="default" w:ascii="Times New Roman" w:hAnsi="Times New Roman" w:eastAsia="宋体" w:cs="Times New Roman"/>
                <w:color w:val="auto"/>
                <w:sz w:val="24"/>
                <w:highlight w:val="none"/>
                <w:lang w:val="en-US" w:eastAsia="zh-CN"/>
              </w:rPr>
              <w:t>臭气浓度</w:t>
            </w:r>
            <w:r>
              <w:rPr>
                <w:rFonts w:hint="eastAsia" w:eastAsia="宋体" w:cs="Times New Roman"/>
                <w:color w:val="auto"/>
                <w:sz w:val="24"/>
                <w:highlight w:val="none"/>
                <w:lang w:val="en-US" w:eastAsia="zh-CN"/>
              </w:rPr>
              <w:t>、硫化氢、氨气</w:t>
            </w:r>
            <w:r>
              <w:rPr>
                <w:rFonts w:hint="eastAsia" w:ascii="Times New Roman" w:hAnsi="Times New Roman" w:eastAsia="宋体" w:cs="Times New Roman"/>
                <w:color w:val="auto"/>
                <w:sz w:val="24"/>
                <w:highlight w:val="none"/>
                <w:lang w:val="en-US" w:eastAsia="zh-CN"/>
              </w:rPr>
              <w:t>），</w:t>
            </w:r>
            <w:r>
              <w:rPr>
                <w:rFonts w:hint="eastAsia" w:cs="Times New Roman"/>
                <w:color w:val="auto"/>
                <w:sz w:val="24"/>
                <w:highlight w:val="none"/>
                <w:lang w:val="en-US" w:eastAsia="zh-CN"/>
              </w:rPr>
              <w:t>以</w:t>
            </w:r>
            <w:r>
              <w:rPr>
                <w:rFonts w:hint="eastAsia" w:ascii="Times New Roman" w:hAnsi="Times New Roman" w:eastAsia="宋体" w:cs="Times New Roman"/>
                <w:color w:val="auto"/>
                <w:sz w:val="24"/>
                <w:highlight w:val="none"/>
                <w:lang w:val="en-US" w:eastAsia="zh-CN"/>
              </w:rPr>
              <w:t>无组织</w:t>
            </w:r>
            <w:r>
              <w:rPr>
                <w:rFonts w:hint="eastAsia" w:cs="Times New Roman"/>
                <w:color w:val="auto"/>
                <w:sz w:val="24"/>
                <w:highlight w:val="none"/>
                <w:lang w:val="en-US" w:eastAsia="zh-CN"/>
              </w:rPr>
              <w:t>形式</w:t>
            </w:r>
            <w:r>
              <w:rPr>
                <w:rFonts w:hint="eastAsia" w:ascii="Times New Roman" w:hAnsi="Times New Roman" w:eastAsia="宋体" w:cs="Times New Roman"/>
                <w:color w:val="auto"/>
                <w:sz w:val="24"/>
                <w:highlight w:val="none"/>
                <w:lang w:val="en-US" w:eastAsia="zh-CN"/>
              </w:rPr>
              <w:t>排放，厂界无组织排放</w:t>
            </w:r>
            <w:r>
              <w:rPr>
                <w:rFonts w:hint="default" w:ascii="Times New Roman" w:hAnsi="Times New Roman" w:eastAsia="宋体" w:cs="Times New Roman"/>
                <w:color w:val="auto"/>
                <w:sz w:val="24"/>
                <w:highlight w:val="none"/>
                <w:lang w:val="en-US" w:eastAsia="zh-CN"/>
              </w:rPr>
              <w:t>臭气浓度</w:t>
            </w:r>
            <w:r>
              <w:rPr>
                <w:rFonts w:hint="eastAsia" w:eastAsia="宋体" w:cs="Times New Roman"/>
                <w:color w:val="auto"/>
                <w:sz w:val="24"/>
                <w:highlight w:val="none"/>
                <w:lang w:val="en-US" w:eastAsia="zh-CN"/>
              </w:rPr>
              <w:t>、硫化氢、氨气</w:t>
            </w:r>
            <w:r>
              <w:rPr>
                <w:rFonts w:hint="eastAsia" w:ascii="Times New Roman" w:hAnsi="Times New Roman" w:eastAsia="宋体" w:cs="Times New Roman"/>
                <w:color w:val="auto"/>
                <w:sz w:val="24"/>
                <w:highlight w:val="none"/>
                <w:lang w:val="en-US" w:eastAsia="zh-CN"/>
              </w:rPr>
              <w:t>执行《恶臭污染物排放标准》（GB14554-93）表1恶臭污染物厂界标准值中二级标准（新扩改建）；厂区内非甲烷总烃无组织排放执行《挥发性有机物无组织排放控制标准》（GB37822-2019）表A.1厂区内VOCs无组织排放限值；厂界非甲烷总烃无组织排放浓度执行《大气污染物综合排放标准》（GB16297-1996）表2中无组织排放标准</w:t>
            </w:r>
            <w:r>
              <w:rPr>
                <w:rFonts w:hint="eastAsia"/>
                <w:color w:val="auto"/>
                <w:sz w:val="24"/>
              </w:rPr>
              <w:t>。本项目大气污染物排放标准见下表</w:t>
            </w:r>
            <w:r>
              <w:rPr>
                <w:rFonts w:hint="eastAsia"/>
                <w:color w:val="auto"/>
                <w:sz w:val="24"/>
                <w:lang w:eastAsia="zh-CN"/>
              </w:rPr>
              <w:t>：</w:t>
            </w:r>
          </w:p>
          <w:p w14:paraId="76D204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表3-</w:t>
            </w:r>
            <w:r>
              <w:rPr>
                <w:rFonts w:hint="eastAsia" w:cs="Times New Roman"/>
                <w:b/>
                <w:bCs/>
                <w:color w:val="auto"/>
                <w:sz w:val="21"/>
                <w:szCs w:val="21"/>
                <w:lang w:val="en-US" w:eastAsia="zh-CN"/>
              </w:rPr>
              <w:t>5</w:t>
            </w:r>
            <w:r>
              <w:rPr>
                <w:rFonts w:hint="eastAsia" w:ascii="Times New Roman" w:hAnsi="Times New Roman" w:eastAsia="宋体" w:cs="Times New Roman"/>
                <w:b/>
                <w:bCs/>
                <w:color w:val="auto"/>
                <w:sz w:val="21"/>
                <w:szCs w:val="21"/>
              </w:rPr>
              <w:t xml:space="preserve"> </w:t>
            </w:r>
            <w:r>
              <w:rPr>
                <w:rFonts w:hint="eastAsia" w:cs="Times New Roman"/>
                <w:b/>
                <w:bCs/>
                <w:color w:val="auto"/>
                <w:sz w:val="21"/>
                <w:szCs w:val="21"/>
                <w:lang w:eastAsia="zh-CN"/>
              </w:rPr>
              <w:t>运营期</w:t>
            </w:r>
            <w:r>
              <w:rPr>
                <w:rFonts w:hint="eastAsia" w:ascii="Times New Roman" w:hAnsi="Times New Roman" w:eastAsia="宋体" w:cs="Times New Roman"/>
                <w:b/>
                <w:bCs/>
                <w:color w:val="auto"/>
                <w:sz w:val="21"/>
                <w:szCs w:val="21"/>
              </w:rPr>
              <w:t>大气污染物排放标准</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163"/>
              <w:gridCol w:w="1321"/>
              <w:gridCol w:w="3012"/>
              <w:gridCol w:w="2785"/>
            </w:tblGrid>
            <w:tr w14:paraId="08F1D4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434" w:type="pct"/>
                  <w:tcBorders>
                    <w:tl2br w:val="nil"/>
                    <w:tr2bl w:val="nil"/>
                  </w:tcBorders>
                  <w:vAlign w:val="center"/>
                </w:tcPr>
                <w:p w14:paraId="6503A61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类型</w:t>
                  </w:r>
                </w:p>
              </w:tc>
              <w:tc>
                <w:tcPr>
                  <w:tcW w:w="641" w:type="pct"/>
                  <w:tcBorders>
                    <w:tl2br w:val="nil"/>
                    <w:tr2bl w:val="nil"/>
                  </w:tcBorders>
                  <w:vAlign w:val="center"/>
                </w:tcPr>
                <w:p w14:paraId="103A828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val="en-US" w:eastAsia="zh-CN"/>
                    </w:rPr>
                    <w:t>污染源</w:t>
                  </w:r>
                </w:p>
              </w:tc>
              <w:tc>
                <w:tcPr>
                  <w:tcW w:w="728" w:type="pct"/>
                  <w:tcBorders>
                    <w:tl2br w:val="nil"/>
                    <w:tr2bl w:val="nil"/>
                  </w:tcBorders>
                  <w:vAlign w:val="center"/>
                </w:tcPr>
                <w:p w14:paraId="2CB2F5C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val="en-US" w:eastAsia="zh-CN"/>
                    </w:rPr>
                    <w:t>污染物</w:t>
                  </w:r>
                </w:p>
              </w:tc>
              <w:tc>
                <w:tcPr>
                  <w:tcW w:w="1660" w:type="pct"/>
                  <w:tcBorders>
                    <w:tl2br w:val="nil"/>
                    <w:tr2bl w:val="nil"/>
                  </w:tcBorders>
                  <w:vAlign w:val="center"/>
                </w:tcPr>
                <w:p w14:paraId="4C87A57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执行标准</w:t>
                  </w:r>
                </w:p>
              </w:tc>
              <w:tc>
                <w:tcPr>
                  <w:tcW w:w="1535" w:type="pct"/>
                  <w:tcBorders>
                    <w:tl2br w:val="nil"/>
                    <w:tr2bl w:val="nil"/>
                  </w:tcBorders>
                  <w:vAlign w:val="center"/>
                </w:tcPr>
                <w:p w14:paraId="2E63896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标准限值</w:t>
                  </w:r>
                </w:p>
              </w:tc>
            </w:tr>
            <w:tr w14:paraId="5BB0FC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34" w:type="pct"/>
                  <w:vMerge w:val="restart"/>
                  <w:tcBorders>
                    <w:tl2br w:val="nil"/>
                    <w:tr2bl w:val="nil"/>
                  </w:tcBorders>
                  <w:vAlign w:val="center"/>
                </w:tcPr>
                <w:p w14:paraId="00CC263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厂界无组织废气</w:t>
                  </w:r>
                </w:p>
              </w:tc>
              <w:tc>
                <w:tcPr>
                  <w:tcW w:w="641" w:type="pct"/>
                  <w:vMerge w:val="restart"/>
                  <w:tcBorders>
                    <w:tl2br w:val="nil"/>
                    <w:tr2bl w:val="nil"/>
                  </w:tcBorders>
                  <w:vAlign w:val="center"/>
                </w:tcPr>
                <w:p w14:paraId="49E9A4B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厂界上风向设1个监测点位，下风向设3个监测点位</w:t>
                  </w:r>
                </w:p>
              </w:tc>
              <w:tc>
                <w:tcPr>
                  <w:tcW w:w="728" w:type="pct"/>
                  <w:tcBorders>
                    <w:tl2br w:val="nil"/>
                    <w:tr2bl w:val="nil"/>
                  </w:tcBorders>
                  <w:vAlign w:val="center"/>
                </w:tcPr>
                <w:p w14:paraId="49C3B24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臭气浓度</w:t>
                  </w:r>
                </w:p>
              </w:tc>
              <w:tc>
                <w:tcPr>
                  <w:tcW w:w="1660" w:type="pct"/>
                  <w:tcBorders>
                    <w:tl2br w:val="nil"/>
                    <w:tr2bl w:val="nil"/>
                  </w:tcBorders>
                  <w:vAlign w:val="center"/>
                </w:tcPr>
                <w:p w14:paraId="0C6EC7D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0"/>
                      <w:sz w:val="21"/>
                      <w:szCs w:val="21"/>
                      <w:lang w:val="en-US" w:eastAsia="zh-CN"/>
                    </w:rPr>
                    <w:t>20</w:t>
                  </w:r>
                  <w:r>
                    <w:rPr>
                      <w:rFonts w:hint="default" w:ascii="Times New Roman" w:hAnsi="Times New Roman" w:eastAsia="宋体" w:cs="Times New Roman"/>
                      <w:color w:val="auto"/>
                      <w:sz w:val="21"/>
                      <w:szCs w:val="21"/>
                    </w:rPr>
                    <w:t>（</w:t>
                  </w:r>
                  <w:r>
                    <w:rPr>
                      <w:rFonts w:hint="eastAsia" w:cs="Times New Roman"/>
                      <w:color w:val="auto"/>
                      <w:sz w:val="21"/>
                      <w:szCs w:val="21"/>
                      <w:lang w:eastAsia="zh-CN"/>
                    </w:rPr>
                    <w:t>无量纲</w:t>
                  </w:r>
                  <w:r>
                    <w:rPr>
                      <w:rFonts w:hint="default" w:ascii="Times New Roman" w:hAnsi="Times New Roman" w:eastAsia="宋体" w:cs="Times New Roman"/>
                      <w:color w:val="auto"/>
                      <w:sz w:val="21"/>
                      <w:szCs w:val="21"/>
                    </w:rPr>
                    <w:t>）</w:t>
                  </w:r>
                </w:p>
              </w:tc>
              <w:tc>
                <w:tcPr>
                  <w:tcW w:w="1535" w:type="pct"/>
                  <w:vMerge w:val="restart"/>
                  <w:tcBorders>
                    <w:tl2br w:val="nil"/>
                    <w:tr2bl w:val="nil"/>
                  </w:tcBorders>
                  <w:vAlign w:val="center"/>
                </w:tcPr>
                <w:p w14:paraId="2D6AF41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《恶臭污染物排放标准》</w:t>
                  </w:r>
                  <w:r>
                    <w:rPr>
                      <w:rFonts w:hint="eastAsia" w:ascii="Times New Roman" w:hAnsi="Times New Roman" w:eastAsia="宋体" w:cs="Times New Roman"/>
                      <w:color w:val="auto"/>
                      <w:sz w:val="21"/>
                      <w:szCs w:val="21"/>
                      <w:lang w:val="en-US" w:eastAsia="zh-CN"/>
                    </w:rPr>
                    <w:t>（GB14554-93）表1</w:t>
                  </w:r>
                  <w:r>
                    <w:rPr>
                      <w:rFonts w:hint="eastAsia" w:ascii="宋体" w:hAnsi="宋体" w:eastAsia="宋体" w:cs="宋体"/>
                      <w:color w:val="auto"/>
                      <w:sz w:val="21"/>
                      <w:szCs w:val="21"/>
                      <w:lang w:val="en-US" w:eastAsia="zh-CN"/>
                    </w:rPr>
                    <w:t>恶臭污染物厂界标准值中二级标准（新扩改建）</w:t>
                  </w:r>
                </w:p>
              </w:tc>
            </w:tr>
            <w:tr w14:paraId="479EAD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34" w:type="pct"/>
                  <w:vMerge w:val="continue"/>
                  <w:tcBorders>
                    <w:tl2br w:val="nil"/>
                    <w:tr2bl w:val="nil"/>
                  </w:tcBorders>
                  <w:vAlign w:val="center"/>
                </w:tcPr>
                <w:p w14:paraId="3CA5229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41" w:type="pct"/>
                  <w:vMerge w:val="continue"/>
                  <w:tcBorders>
                    <w:tl2br w:val="nil"/>
                    <w:tr2bl w:val="nil"/>
                  </w:tcBorders>
                  <w:vAlign w:val="center"/>
                </w:tcPr>
                <w:p w14:paraId="5C378E3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728" w:type="pct"/>
                  <w:tcBorders>
                    <w:tl2br w:val="nil"/>
                    <w:tr2bl w:val="nil"/>
                  </w:tcBorders>
                  <w:vAlign w:val="center"/>
                </w:tcPr>
                <w:p w14:paraId="2BDBA24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硫化氢</w:t>
                  </w:r>
                </w:p>
              </w:tc>
              <w:tc>
                <w:tcPr>
                  <w:tcW w:w="1660" w:type="pct"/>
                  <w:tcBorders>
                    <w:tl2br w:val="nil"/>
                    <w:tr2bl w:val="nil"/>
                  </w:tcBorders>
                  <w:vAlign w:val="center"/>
                </w:tcPr>
                <w:p w14:paraId="29D8391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0.06</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c>
                <w:tcPr>
                  <w:tcW w:w="1535" w:type="pct"/>
                  <w:vMerge w:val="continue"/>
                  <w:tcBorders>
                    <w:tl2br w:val="nil"/>
                    <w:tr2bl w:val="nil"/>
                  </w:tcBorders>
                  <w:vAlign w:val="center"/>
                </w:tcPr>
                <w:p w14:paraId="28A363C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34972B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34" w:type="pct"/>
                  <w:vMerge w:val="continue"/>
                  <w:tcBorders>
                    <w:tl2br w:val="nil"/>
                    <w:tr2bl w:val="nil"/>
                  </w:tcBorders>
                  <w:vAlign w:val="center"/>
                </w:tcPr>
                <w:p w14:paraId="78B3BAF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41" w:type="pct"/>
                  <w:vMerge w:val="continue"/>
                  <w:tcBorders>
                    <w:tl2br w:val="nil"/>
                    <w:tr2bl w:val="nil"/>
                  </w:tcBorders>
                  <w:vAlign w:val="center"/>
                </w:tcPr>
                <w:p w14:paraId="472B244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728" w:type="pct"/>
                  <w:tcBorders>
                    <w:tl2br w:val="nil"/>
                    <w:tr2bl w:val="nil"/>
                  </w:tcBorders>
                  <w:vAlign w:val="center"/>
                </w:tcPr>
                <w:p w14:paraId="1A0136B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氨气</w:t>
                  </w:r>
                </w:p>
              </w:tc>
              <w:tc>
                <w:tcPr>
                  <w:tcW w:w="1660" w:type="pct"/>
                  <w:tcBorders>
                    <w:tl2br w:val="nil"/>
                    <w:tr2bl w:val="nil"/>
                  </w:tcBorders>
                  <w:vAlign w:val="center"/>
                </w:tcPr>
                <w:p w14:paraId="4102BE5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1.5</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c>
                <w:tcPr>
                  <w:tcW w:w="1535" w:type="pct"/>
                  <w:vMerge w:val="continue"/>
                  <w:tcBorders>
                    <w:tl2br w:val="nil"/>
                    <w:tr2bl w:val="nil"/>
                  </w:tcBorders>
                  <w:vAlign w:val="center"/>
                </w:tcPr>
                <w:p w14:paraId="552AC15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7A377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34" w:type="pct"/>
                  <w:vMerge w:val="continue"/>
                  <w:tcBorders>
                    <w:tl2br w:val="nil"/>
                    <w:tr2bl w:val="nil"/>
                  </w:tcBorders>
                  <w:vAlign w:val="center"/>
                </w:tcPr>
                <w:p w14:paraId="6F2D4F5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41" w:type="pct"/>
                  <w:vMerge w:val="continue"/>
                  <w:tcBorders>
                    <w:tl2br w:val="nil"/>
                    <w:tr2bl w:val="nil"/>
                  </w:tcBorders>
                  <w:vAlign w:val="center"/>
                </w:tcPr>
                <w:p w14:paraId="4D0DD1B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728" w:type="pct"/>
                  <w:tcBorders>
                    <w:tl2br w:val="nil"/>
                    <w:tr2bl w:val="nil"/>
                  </w:tcBorders>
                  <w:vAlign w:val="center"/>
                </w:tcPr>
                <w:p w14:paraId="2AFF4DA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非甲烷总烃</w:t>
                  </w:r>
                </w:p>
              </w:tc>
              <w:tc>
                <w:tcPr>
                  <w:tcW w:w="1660" w:type="pct"/>
                  <w:tcBorders>
                    <w:tl2br w:val="nil"/>
                    <w:tr2bl w:val="nil"/>
                  </w:tcBorders>
                  <w:vAlign w:val="center"/>
                </w:tcPr>
                <w:p w14:paraId="64928EA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kern w:val="2"/>
                      <w:sz w:val="21"/>
                      <w:szCs w:val="21"/>
                      <w:lang w:val="en-US" w:eastAsia="zh-CN" w:bidi="ar-SA"/>
                    </w:rPr>
                  </w:pPr>
                  <w:r>
                    <w:rPr>
                      <w:rFonts w:hint="eastAsia" w:cs="Times New Roman"/>
                      <w:color w:val="auto"/>
                      <w:kern w:val="0"/>
                      <w:sz w:val="21"/>
                      <w:szCs w:val="21"/>
                      <w:lang w:val="en-US" w:eastAsia="zh-CN"/>
                    </w:rPr>
                    <w:t>4.0</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c>
                <w:tcPr>
                  <w:tcW w:w="1535" w:type="pct"/>
                  <w:tcBorders>
                    <w:tl2br w:val="nil"/>
                    <w:tr2bl w:val="nil"/>
                  </w:tcBorders>
                  <w:vAlign w:val="center"/>
                </w:tcPr>
                <w:p w14:paraId="66231A3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《大气污染物综合排放标准》（GB</w:t>
                  </w:r>
                  <w:r>
                    <w:rPr>
                      <w:rFonts w:hint="eastAsia" w:cs="Times New Roman"/>
                      <w:color w:val="auto"/>
                      <w:sz w:val="21"/>
                      <w:szCs w:val="21"/>
                      <w:lang w:val="en-US" w:eastAsia="zh-CN"/>
                    </w:rPr>
                    <w:t xml:space="preserve"> </w:t>
                  </w:r>
                  <w:r>
                    <w:rPr>
                      <w:rFonts w:hint="default" w:ascii="Times New Roman" w:hAnsi="Times New Roman" w:eastAsia="宋体" w:cs="Times New Roman"/>
                      <w:color w:val="auto"/>
                      <w:sz w:val="21"/>
                      <w:szCs w:val="21"/>
                    </w:rPr>
                    <w:t>16297-1996）表2无组织</w:t>
                  </w:r>
                </w:p>
              </w:tc>
            </w:tr>
            <w:tr w14:paraId="14E657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4" w:type="pct"/>
                  <w:vMerge w:val="restart"/>
                  <w:tcBorders>
                    <w:tl2br w:val="nil"/>
                    <w:tr2bl w:val="nil"/>
                  </w:tcBorders>
                  <w:vAlign w:val="center"/>
                </w:tcPr>
                <w:p w14:paraId="7D65FF5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rPr>
                    <w:t>厂内无组织废气</w:t>
                  </w:r>
                </w:p>
              </w:tc>
              <w:tc>
                <w:tcPr>
                  <w:tcW w:w="641" w:type="pct"/>
                  <w:vMerge w:val="restart"/>
                  <w:tcBorders>
                    <w:tl2br w:val="nil"/>
                    <w:tr2bl w:val="nil"/>
                  </w:tcBorders>
                  <w:vAlign w:val="center"/>
                </w:tcPr>
                <w:p w14:paraId="1E13D63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rPr>
                    <w:t>在厂房外设置监控点</w:t>
                  </w:r>
                </w:p>
              </w:tc>
              <w:tc>
                <w:tcPr>
                  <w:tcW w:w="728" w:type="pct"/>
                  <w:vMerge w:val="restart"/>
                  <w:tcBorders>
                    <w:tl2br w:val="nil"/>
                    <w:tr2bl w:val="nil"/>
                  </w:tcBorders>
                  <w:vAlign w:val="center"/>
                </w:tcPr>
                <w:p w14:paraId="15D70A4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非甲烷总烃</w:t>
                  </w:r>
                </w:p>
              </w:tc>
              <w:tc>
                <w:tcPr>
                  <w:tcW w:w="1660" w:type="pct"/>
                  <w:tcBorders>
                    <w:tl2br w:val="nil"/>
                    <w:tr2bl w:val="nil"/>
                  </w:tcBorders>
                  <w:vAlign w:val="center"/>
                </w:tcPr>
                <w:p w14:paraId="2119EF6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eastAsia="zh-CN"/>
                    </w:rPr>
                    <w:t>厂区内监控点处1h平均浓度值：</w:t>
                  </w:r>
                  <w:r>
                    <w:rPr>
                      <w:rFonts w:hint="eastAsia" w:cs="Times New Roman"/>
                      <w:color w:val="auto"/>
                      <w:sz w:val="21"/>
                      <w:szCs w:val="21"/>
                      <w:lang w:val="en-US" w:eastAsia="zh-CN"/>
                    </w:rPr>
                    <w:t>10</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c>
                <w:tcPr>
                  <w:tcW w:w="1535" w:type="pct"/>
                  <w:vMerge w:val="restart"/>
                  <w:tcBorders>
                    <w:tl2br w:val="nil"/>
                    <w:tr2bl w:val="nil"/>
                  </w:tcBorders>
                  <w:vAlign w:val="center"/>
                </w:tcPr>
                <w:p w14:paraId="447497A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color w:val="auto"/>
                      <w:sz w:val="21"/>
                      <w:szCs w:val="21"/>
                    </w:rPr>
                    <w:t>《挥发性有机物无组织排放控制标准》（GB37822-2019）表A.1厂区内VOCs无组织排放限值</w:t>
                  </w:r>
                </w:p>
              </w:tc>
            </w:tr>
            <w:tr w14:paraId="407579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4" w:type="pct"/>
                  <w:vMerge w:val="continue"/>
                  <w:tcBorders>
                    <w:tl2br w:val="nil"/>
                    <w:tr2bl w:val="nil"/>
                  </w:tcBorders>
                  <w:vAlign w:val="center"/>
                </w:tcPr>
                <w:p w14:paraId="2110102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641" w:type="pct"/>
                  <w:vMerge w:val="continue"/>
                  <w:tcBorders>
                    <w:tl2br w:val="nil"/>
                    <w:tr2bl w:val="nil"/>
                  </w:tcBorders>
                  <w:vAlign w:val="center"/>
                </w:tcPr>
                <w:p w14:paraId="1B9381B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728" w:type="pct"/>
                  <w:vMerge w:val="continue"/>
                  <w:tcBorders>
                    <w:tl2br w:val="nil"/>
                    <w:tr2bl w:val="nil"/>
                  </w:tcBorders>
                  <w:vAlign w:val="center"/>
                </w:tcPr>
                <w:p w14:paraId="0920F48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1660" w:type="pct"/>
                  <w:tcBorders>
                    <w:tl2br w:val="nil"/>
                    <w:tr2bl w:val="nil"/>
                  </w:tcBorders>
                  <w:vAlign w:val="center"/>
                </w:tcPr>
                <w:p w14:paraId="0ACBDB6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eastAsia="zh-CN"/>
                    </w:rPr>
                    <w:t>厂区内</w:t>
                  </w:r>
                  <w:r>
                    <w:rPr>
                      <w:rFonts w:hint="eastAsia" w:cs="Times New Roman"/>
                      <w:color w:val="auto"/>
                      <w:sz w:val="21"/>
                      <w:szCs w:val="21"/>
                      <w:highlight w:val="none"/>
                      <w:lang w:val="en-US" w:eastAsia="zh-CN"/>
                    </w:rPr>
                    <w:t>监控点处任意一次浓度值：</w:t>
                  </w:r>
                  <w:r>
                    <w:rPr>
                      <w:rFonts w:hint="eastAsia" w:cs="Times New Roman"/>
                      <w:color w:val="auto"/>
                      <w:sz w:val="21"/>
                      <w:szCs w:val="21"/>
                      <w:lang w:val="en-US" w:eastAsia="zh-CN"/>
                    </w:rPr>
                    <w:t>3</w:t>
                  </w:r>
                  <w:r>
                    <w:rPr>
                      <w:rFonts w:hint="eastAsia"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c>
                <w:tcPr>
                  <w:tcW w:w="1535" w:type="pct"/>
                  <w:vMerge w:val="continue"/>
                  <w:tcBorders>
                    <w:tl2br w:val="nil"/>
                    <w:tr2bl w:val="nil"/>
                  </w:tcBorders>
                  <w:vAlign w:val="center"/>
                </w:tcPr>
                <w:p w14:paraId="3044208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p>
              </w:tc>
            </w:tr>
          </w:tbl>
          <w:p w14:paraId="3A5D4FE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（2）废水</w:t>
            </w:r>
          </w:p>
          <w:p w14:paraId="55A3908A">
            <w:pPr>
              <w:spacing w:line="360" w:lineRule="auto"/>
              <w:ind w:firstLine="480" w:firstLineChars="200"/>
              <w:rPr>
                <w:b/>
                <w:bCs/>
                <w:color w:val="FF0000"/>
                <w:szCs w:val="21"/>
              </w:rPr>
            </w:pPr>
            <w:r>
              <w:rPr>
                <w:rFonts w:hint="eastAsia"/>
                <w:bCs/>
                <w:color w:val="FF0000"/>
                <w:sz w:val="24"/>
                <w:highlight w:val="none"/>
                <w:lang w:eastAsia="zh-CN"/>
              </w:rPr>
              <w:t>本</w:t>
            </w:r>
            <w:r>
              <w:rPr>
                <w:rFonts w:hint="eastAsia"/>
                <w:bCs/>
                <w:color w:val="FF0000"/>
                <w:sz w:val="24"/>
                <w:highlight w:val="none"/>
              </w:rPr>
              <w:t>项目</w:t>
            </w:r>
            <w:r>
              <w:rPr>
                <w:rFonts w:hint="eastAsia"/>
                <w:bCs/>
                <w:color w:val="FF0000"/>
                <w:sz w:val="24"/>
                <w:highlight w:val="none"/>
                <w:lang w:eastAsia="zh-CN"/>
              </w:rPr>
              <w:t>不新建排污口。生活废水</w:t>
            </w:r>
            <w:r>
              <w:rPr>
                <w:rFonts w:hint="eastAsia"/>
                <w:color w:val="FF0000"/>
                <w:sz w:val="24"/>
                <w:highlight w:val="none"/>
              </w:rPr>
              <w:t>排</w:t>
            </w:r>
            <w:r>
              <w:rPr>
                <w:rFonts w:hint="eastAsia"/>
                <w:color w:val="FF0000"/>
                <w:sz w:val="24"/>
              </w:rPr>
              <w:t>放</w:t>
            </w:r>
            <w:r>
              <w:rPr>
                <w:rFonts w:hint="eastAsia" w:ascii="Times New Roman" w:hAnsi="Times New Roman" w:eastAsia="宋体" w:cs="Times New Roman"/>
                <w:b w:val="0"/>
                <w:bCs/>
                <w:color w:val="FF0000"/>
                <w:sz w:val="24"/>
                <w:szCs w:val="24"/>
                <w:highlight w:val="none"/>
                <w:lang w:val="en-US" w:eastAsia="zh-CN"/>
              </w:rPr>
              <w:t>执行《污水综合排放标准》（GB 8978-1996）表4中三级及《污水排入城镇下水道水质标准》（GB/T 31962-2015）表1中</w:t>
            </w:r>
            <w:r>
              <w:rPr>
                <w:rFonts w:hint="eastAsia" w:cs="Times New Roman"/>
                <w:b w:val="0"/>
                <w:bCs/>
                <w:color w:val="FF0000"/>
                <w:sz w:val="24"/>
                <w:szCs w:val="24"/>
                <w:highlight w:val="none"/>
                <w:lang w:val="en-US" w:eastAsia="zh-CN"/>
              </w:rPr>
              <w:t>B</w:t>
            </w:r>
            <w:r>
              <w:rPr>
                <w:rFonts w:hint="eastAsia" w:ascii="Times New Roman" w:hAnsi="Times New Roman" w:eastAsia="宋体" w:cs="Times New Roman"/>
                <w:b w:val="0"/>
                <w:bCs/>
                <w:color w:val="FF0000"/>
                <w:sz w:val="24"/>
                <w:szCs w:val="24"/>
                <w:highlight w:val="none"/>
                <w:lang w:val="en-US" w:eastAsia="zh-CN"/>
              </w:rPr>
              <w:t>级标准限值要求</w:t>
            </w:r>
            <w:r>
              <w:rPr>
                <w:rFonts w:hint="eastAsia" w:cs="Times New Roman"/>
                <w:b w:val="0"/>
                <w:bCs/>
                <w:color w:val="FF0000"/>
                <w:sz w:val="24"/>
                <w:szCs w:val="24"/>
                <w:highlight w:val="none"/>
                <w:lang w:val="en-US" w:eastAsia="zh-CN"/>
              </w:rPr>
              <w:t>，生产废水满足佛坪县污水处理厂进水水质要求，通过罐车拉运处置，详见下表：</w:t>
            </w:r>
          </w:p>
          <w:p w14:paraId="457ED6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FF0000"/>
                <w:kern w:val="0"/>
                <w:sz w:val="21"/>
                <w:szCs w:val="21"/>
              </w:rPr>
            </w:pPr>
            <w:r>
              <w:rPr>
                <w:rFonts w:hint="eastAsia" w:cs="宋体"/>
                <w:b/>
                <w:bCs/>
                <w:color w:val="FF0000"/>
                <w:kern w:val="0"/>
                <w:sz w:val="21"/>
                <w:szCs w:val="21"/>
              </w:rPr>
              <w:t>表</w:t>
            </w:r>
            <w:r>
              <w:rPr>
                <w:b/>
                <w:bCs/>
                <w:color w:val="FF0000"/>
                <w:kern w:val="0"/>
                <w:sz w:val="21"/>
                <w:szCs w:val="21"/>
              </w:rPr>
              <w:t>3</w:t>
            </w:r>
            <w:r>
              <w:rPr>
                <w:rFonts w:hint="eastAsia"/>
                <w:b/>
                <w:bCs/>
                <w:color w:val="FF0000"/>
                <w:kern w:val="0"/>
                <w:sz w:val="21"/>
                <w:szCs w:val="21"/>
              </w:rPr>
              <w:t>-</w:t>
            </w:r>
            <w:r>
              <w:rPr>
                <w:rFonts w:hint="eastAsia"/>
                <w:b/>
                <w:bCs/>
                <w:color w:val="FF0000"/>
                <w:kern w:val="0"/>
                <w:sz w:val="21"/>
                <w:szCs w:val="21"/>
                <w:lang w:val="en-US" w:eastAsia="zh-CN"/>
              </w:rPr>
              <w:t>6</w:t>
            </w:r>
            <w:r>
              <w:rPr>
                <w:rFonts w:hint="eastAsia"/>
                <w:b/>
                <w:bCs/>
                <w:color w:val="FF0000"/>
                <w:kern w:val="0"/>
                <w:sz w:val="21"/>
                <w:szCs w:val="21"/>
              </w:rPr>
              <w:t xml:space="preserve"> </w:t>
            </w:r>
            <w:r>
              <w:rPr>
                <w:rFonts w:hint="eastAsia" w:cs="Times New Roman"/>
                <w:b/>
                <w:bCs/>
                <w:color w:val="FF0000"/>
                <w:sz w:val="21"/>
                <w:szCs w:val="21"/>
                <w:lang w:eastAsia="zh-CN"/>
              </w:rPr>
              <w:t>运营</w:t>
            </w:r>
            <w:r>
              <w:rPr>
                <w:rFonts w:hint="eastAsia" w:ascii="Times New Roman" w:hAnsi="Times New Roman" w:eastAsia="宋体" w:cs="Times New Roman"/>
                <w:b/>
                <w:bCs/>
                <w:color w:val="FF0000"/>
                <w:sz w:val="21"/>
                <w:szCs w:val="21"/>
              </w:rPr>
              <w:t>期</w:t>
            </w:r>
            <w:r>
              <w:rPr>
                <w:rFonts w:hint="eastAsia" w:cs="宋体"/>
                <w:b/>
                <w:bCs/>
                <w:color w:val="FF0000"/>
                <w:kern w:val="0"/>
                <w:sz w:val="21"/>
                <w:szCs w:val="21"/>
              </w:rPr>
              <w:t>废水污染物排放标准</w:t>
            </w:r>
          </w:p>
          <w:tbl>
            <w:tblPr>
              <w:tblStyle w:val="26"/>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3734"/>
              <w:gridCol w:w="1595"/>
              <w:gridCol w:w="2600"/>
            </w:tblGrid>
            <w:tr w14:paraId="6006FF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vAlign w:val="center"/>
                </w:tcPr>
                <w:p w14:paraId="5E19A31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color w:val="auto"/>
                      <w:sz w:val="21"/>
                      <w:szCs w:val="21"/>
                      <w:lang w:eastAsia="zh-CN"/>
                    </w:rPr>
                  </w:pPr>
                  <w:r>
                    <w:rPr>
                      <w:rFonts w:hint="eastAsia"/>
                      <w:b/>
                      <w:bCs/>
                      <w:color w:val="auto"/>
                      <w:sz w:val="21"/>
                      <w:szCs w:val="21"/>
                      <w:lang w:eastAsia="zh-CN"/>
                    </w:rPr>
                    <w:t>废水类别</w:t>
                  </w:r>
                </w:p>
              </w:tc>
              <w:tc>
                <w:tcPr>
                  <w:tcW w:w="2058" w:type="pct"/>
                  <w:vAlign w:val="center"/>
                </w:tcPr>
                <w:p w14:paraId="35ABCF3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auto"/>
                      <w:sz w:val="21"/>
                      <w:szCs w:val="21"/>
                    </w:rPr>
                  </w:pPr>
                  <w:r>
                    <w:rPr>
                      <w:rFonts w:hint="eastAsia"/>
                      <w:b/>
                      <w:bCs/>
                      <w:color w:val="auto"/>
                      <w:sz w:val="21"/>
                      <w:szCs w:val="21"/>
                    </w:rPr>
                    <w:t>标准名称</w:t>
                  </w:r>
                </w:p>
              </w:tc>
              <w:tc>
                <w:tcPr>
                  <w:tcW w:w="879" w:type="pct"/>
                  <w:vAlign w:val="center"/>
                </w:tcPr>
                <w:p w14:paraId="79D687C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color w:val="auto"/>
                      <w:sz w:val="21"/>
                      <w:szCs w:val="21"/>
                      <w:lang w:eastAsia="zh-CN"/>
                    </w:rPr>
                  </w:pPr>
                  <w:r>
                    <w:rPr>
                      <w:rFonts w:hint="eastAsia"/>
                      <w:b/>
                      <w:bCs/>
                      <w:color w:val="auto"/>
                      <w:sz w:val="21"/>
                      <w:szCs w:val="21"/>
                      <w:lang w:val="en-US" w:eastAsia="zh-CN"/>
                    </w:rPr>
                    <w:t>污染物</w:t>
                  </w:r>
                </w:p>
              </w:tc>
              <w:tc>
                <w:tcPr>
                  <w:tcW w:w="1433" w:type="pct"/>
                  <w:vAlign w:val="center"/>
                </w:tcPr>
                <w:p w14:paraId="423BE3C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标准值</w:t>
                  </w:r>
                </w:p>
              </w:tc>
            </w:tr>
            <w:tr w14:paraId="42B629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vMerge w:val="restart"/>
                  <w:vAlign w:val="center"/>
                </w:tcPr>
                <w:p w14:paraId="00EDCC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eastAsia="zh-CN"/>
                    </w:rPr>
                    <w:t>生活污水</w:t>
                  </w:r>
                </w:p>
              </w:tc>
              <w:tc>
                <w:tcPr>
                  <w:tcW w:w="2058" w:type="pct"/>
                  <w:vMerge w:val="restart"/>
                  <w:vAlign w:val="center"/>
                </w:tcPr>
                <w:p w14:paraId="509460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《污水综合排放标准》（GB 8978-1996）表4中三级标准</w:t>
                  </w:r>
                </w:p>
              </w:tc>
              <w:tc>
                <w:tcPr>
                  <w:tcW w:w="879" w:type="pct"/>
                  <w:vAlign w:val="center"/>
                </w:tcPr>
                <w:p w14:paraId="00C9216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p</w:t>
                  </w:r>
                  <w:r>
                    <w:rPr>
                      <w:color w:val="auto"/>
                      <w:sz w:val="21"/>
                      <w:szCs w:val="21"/>
                    </w:rPr>
                    <w:t>H</w:t>
                  </w:r>
                </w:p>
              </w:tc>
              <w:tc>
                <w:tcPr>
                  <w:tcW w:w="1433" w:type="pct"/>
                  <w:vAlign w:val="center"/>
                </w:tcPr>
                <w:p w14:paraId="554B700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6</w:t>
                  </w:r>
                  <w:r>
                    <w:rPr>
                      <w:rFonts w:hint="eastAsia"/>
                      <w:color w:val="auto"/>
                      <w:sz w:val="21"/>
                      <w:szCs w:val="21"/>
                      <w:lang w:val="en-US" w:eastAsia="zh-CN"/>
                    </w:rPr>
                    <w:t>~</w:t>
                  </w:r>
                  <w:r>
                    <w:rPr>
                      <w:color w:val="auto"/>
                      <w:sz w:val="21"/>
                      <w:szCs w:val="21"/>
                    </w:rPr>
                    <w:t>9</w:t>
                  </w:r>
                  <w:r>
                    <w:rPr>
                      <w:rFonts w:hint="eastAsia"/>
                      <w:color w:val="auto"/>
                      <w:sz w:val="21"/>
                      <w:szCs w:val="21"/>
                    </w:rPr>
                    <w:t>（无量纲）</w:t>
                  </w:r>
                </w:p>
              </w:tc>
            </w:tr>
            <w:tr w14:paraId="64DFBD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vMerge w:val="continue"/>
                  <w:vAlign w:val="center"/>
                </w:tcPr>
                <w:p w14:paraId="4106A9C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2058" w:type="pct"/>
                  <w:vMerge w:val="continue"/>
                  <w:vAlign w:val="center"/>
                </w:tcPr>
                <w:p w14:paraId="4B5C257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879" w:type="pct"/>
                  <w:vAlign w:val="center"/>
                </w:tcPr>
                <w:p w14:paraId="430772C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COD</w:t>
                  </w:r>
                </w:p>
              </w:tc>
              <w:tc>
                <w:tcPr>
                  <w:tcW w:w="1433" w:type="pct"/>
                  <w:vAlign w:val="center"/>
                </w:tcPr>
                <w:p w14:paraId="0BEA0AB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500</w:t>
                  </w:r>
                  <w:r>
                    <w:rPr>
                      <w:rFonts w:hint="eastAsia"/>
                      <w:color w:val="auto"/>
                      <w:sz w:val="21"/>
                      <w:szCs w:val="21"/>
                    </w:rPr>
                    <w:t>（</w:t>
                  </w:r>
                  <w:r>
                    <w:rPr>
                      <w:color w:val="auto"/>
                      <w:sz w:val="21"/>
                      <w:szCs w:val="21"/>
                    </w:rPr>
                    <w:t>mg/</w:t>
                  </w:r>
                  <w:r>
                    <w:rPr>
                      <w:rFonts w:hint="eastAsia"/>
                      <w:color w:val="auto"/>
                      <w:sz w:val="21"/>
                      <w:szCs w:val="21"/>
                    </w:rPr>
                    <w:t>L）</w:t>
                  </w:r>
                </w:p>
              </w:tc>
            </w:tr>
            <w:tr w14:paraId="12F55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vMerge w:val="continue"/>
                  <w:vAlign w:val="center"/>
                </w:tcPr>
                <w:p w14:paraId="64E4B80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2058" w:type="pct"/>
                  <w:vMerge w:val="continue"/>
                  <w:vAlign w:val="center"/>
                </w:tcPr>
                <w:p w14:paraId="5CFC255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879" w:type="pct"/>
                  <w:vAlign w:val="center"/>
                </w:tcPr>
                <w:p w14:paraId="11CBF5D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BOD</w:t>
                  </w:r>
                  <w:r>
                    <w:rPr>
                      <w:color w:val="auto"/>
                      <w:sz w:val="21"/>
                      <w:szCs w:val="21"/>
                      <w:vertAlign w:val="subscript"/>
                    </w:rPr>
                    <w:t>5</w:t>
                  </w:r>
                </w:p>
              </w:tc>
              <w:tc>
                <w:tcPr>
                  <w:tcW w:w="1433" w:type="pct"/>
                  <w:vAlign w:val="center"/>
                </w:tcPr>
                <w:p w14:paraId="212C4B5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300（</w:t>
                  </w:r>
                  <w:r>
                    <w:rPr>
                      <w:color w:val="auto"/>
                      <w:sz w:val="21"/>
                      <w:szCs w:val="21"/>
                    </w:rPr>
                    <w:t>mg/</w:t>
                  </w:r>
                  <w:r>
                    <w:rPr>
                      <w:rFonts w:hint="eastAsia"/>
                      <w:color w:val="auto"/>
                      <w:sz w:val="21"/>
                      <w:szCs w:val="21"/>
                    </w:rPr>
                    <w:t>L）</w:t>
                  </w:r>
                </w:p>
              </w:tc>
            </w:tr>
            <w:tr w14:paraId="70ADE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vMerge w:val="continue"/>
                  <w:vAlign w:val="center"/>
                </w:tcPr>
                <w:p w14:paraId="1A8FBE0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2058" w:type="pct"/>
                  <w:vMerge w:val="continue"/>
                  <w:vAlign w:val="center"/>
                </w:tcPr>
                <w:p w14:paraId="6C483CB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879" w:type="pct"/>
                  <w:vAlign w:val="center"/>
                </w:tcPr>
                <w:p w14:paraId="580DD5F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eastAsia="zh-CN"/>
                    </w:rPr>
                    <w:t>悬浮物</w:t>
                  </w:r>
                </w:p>
              </w:tc>
              <w:tc>
                <w:tcPr>
                  <w:tcW w:w="1433" w:type="pct"/>
                  <w:vAlign w:val="center"/>
                </w:tcPr>
                <w:p w14:paraId="6207156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400</w:t>
                  </w:r>
                  <w:r>
                    <w:rPr>
                      <w:rFonts w:hint="eastAsia"/>
                      <w:color w:val="auto"/>
                      <w:sz w:val="21"/>
                      <w:szCs w:val="21"/>
                    </w:rPr>
                    <w:t>（</w:t>
                  </w:r>
                  <w:r>
                    <w:rPr>
                      <w:color w:val="auto"/>
                      <w:sz w:val="21"/>
                      <w:szCs w:val="21"/>
                    </w:rPr>
                    <w:t>mg/</w:t>
                  </w:r>
                  <w:r>
                    <w:rPr>
                      <w:rFonts w:hint="eastAsia"/>
                      <w:color w:val="auto"/>
                      <w:sz w:val="21"/>
                      <w:szCs w:val="21"/>
                    </w:rPr>
                    <w:t>L）</w:t>
                  </w:r>
                </w:p>
              </w:tc>
            </w:tr>
            <w:tr w14:paraId="089C8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vMerge w:val="continue"/>
                  <w:vAlign w:val="center"/>
                </w:tcPr>
                <w:p w14:paraId="223F3F2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2058" w:type="pct"/>
                  <w:vMerge w:val="restart"/>
                  <w:vAlign w:val="center"/>
                </w:tcPr>
                <w:p w14:paraId="65D484B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《污水排入城镇下水道水质标准》（GB/T 31962-2015）表1中</w:t>
                  </w:r>
                  <w:r>
                    <w:rPr>
                      <w:rFonts w:hint="eastAsia"/>
                      <w:color w:val="auto"/>
                      <w:sz w:val="21"/>
                      <w:szCs w:val="21"/>
                      <w:lang w:val="en-US" w:eastAsia="zh-CN"/>
                    </w:rPr>
                    <w:t>B</w:t>
                  </w:r>
                  <w:r>
                    <w:rPr>
                      <w:rFonts w:hint="eastAsia"/>
                      <w:color w:val="auto"/>
                      <w:sz w:val="21"/>
                      <w:szCs w:val="21"/>
                    </w:rPr>
                    <w:t>级标准</w:t>
                  </w:r>
                </w:p>
              </w:tc>
              <w:tc>
                <w:tcPr>
                  <w:tcW w:w="879" w:type="pct"/>
                  <w:vAlign w:val="center"/>
                </w:tcPr>
                <w:p w14:paraId="5D4626E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b w:val="0"/>
                      <w:bCs w:val="0"/>
                      <w:color w:val="auto"/>
                      <w:kern w:val="2"/>
                      <w:sz w:val="21"/>
                      <w:szCs w:val="21"/>
                      <w:highlight w:val="none"/>
                      <w:lang w:val="en-US" w:eastAsia="zh-CN" w:bidi="ar-SA"/>
                    </w:rPr>
                    <w:t>氨氮</w:t>
                  </w:r>
                </w:p>
              </w:tc>
              <w:tc>
                <w:tcPr>
                  <w:tcW w:w="1433" w:type="pct"/>
                  <w:vAlign w:val="center"/>
                </w:tcPr>
                <w:p w14:paraId="59F020D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s="Times New Roman"/>
                      <w:b w:val="0"/>
                      <w:bCs w:val="0"/>
                      <w:color w:val="auto"/>
                      <w:kern w:val="2"/>
                      <w:sz w:val="21"/>
                      <w:szCs w:val="21"/>
                      <w:highlight w:val="none"/>
                      <w:lang w:val="en-US" w:eastAsia="zh-CN" w:bidi="ar-SA"/>
                    </w:rPr>
                    <w:t>4</w:t>
                  </w:r>
                  <w:r>
                    <w:rPr>
                      <w:rFonts w:hint="eastAsia" w:ascii="Times New Roman" w:hAnsi="Times New Roman" w:cs="Times New Roman"/>
                      <w:b w:val="0"/>
                      <w:bCs w:val="0"/>
                      <w:color w:val="auto"/>
                      <w:kern w:val="2"/>
                      <w:sz w:val="21"/>
                      <w:szCs w:val="21"/>
                      <w:highlight w:val="none"/>
                      <w:lang w:val="en-US" w:eastAsia="zh-CN" w:bidi="ar-SA"/>
                    </w:rPr>
                    <w:t>5</w:t>
                  </w:r>
                  <w:r>
                    <w:rPr>
                      <w:rFonts w:hint="eastAsia" w:ascii="Times New Roman" w:hAnsi="Times New Roman" w:eastAsia="宋体" w:cs="Times New Roman"/>
                      <w:b w:val="0"/>
                      <w:bCs w:val="0"/>
                      <w:color w:val="auto"/>
                      <w:kern w:val="2"/>
                      <w:sz w:val="21"/>
                      <w:szCs w:val="21"/>
                      <w:highlight w:val="none"/>
                      <w:lang w:val="en-US" w:eastAsia="zh-CN" w:bidi="ar-SA"/>
                    </w:rPr>
                    <w:t>（</w:t>
                  </w:r>
                  <w:r>
                    <w:rPr>
                      <w:rFonts w:hint="default" w:ascii="Times New Roman" w:hAnsi="Times New Roman" w:eastAsia="宋体" w:cs="Times New Roman"/>
                      <w:b w:val="0"/>
                      <w:bCs w:val="0"/>
                      <w:color w:val="auto"/>
                      <w:sz w:val="21"/>
                      <w:szCs w:val="21"/>
                      <w:highlight w:val="none"/>
                      <w:lang w:val="en-US" w:eastAsia="zh-CN"/>
                    </w:rPr>
                    <w:t>mg/</w:t>
                  </w:r>
                  <w:r>
                    <w:rPr>
                      <w:rFonts w:hint="eastAsia" w:ascii="Times New Roman" w:hAnsi="Times New Roman" w:eastAsia="宋体" w:cs="Times New Roman"/>
                      <w:b w:val="0"/>
                      <w:bCs w:val="0"/>
                      <w:color w:val="auto"/>
                      <w:sz w:val="21"/>
                      <w:szCs w:val="21"/>
                      <w:highlight w:val="none"/>
                      <w:lang w:val="en-US" w:eastAsia="zh-CN"/>
                    </w:rPr>
                    <w:t>L</w:t>
                  </w:r>
                  <w:r>
                    <w:rPr>
                      <w:rFonts w:hint="eastAsia" w:ascii="Times New Roman" w:hAnsi="Times New Roman" w:eastAsia="宋体" w:cs="Times New Roman"/>
                      <w:b w:val="0"/>
                      <w:bCs w:val="0"/>
                      <w:color w:val="auto"/>
                      <w:sz w:val="21"/>
                      <w:szCs w:val="21"/>
                      <w:highlight w:val="none"/>
                      <w:vertAlign w:val="baseline"/>
                      <w:lang w:val="en-US" w:eastAsia="zh-CN"/>
                    </w:rPr>
                    <w:t>）</w:t>
                  </w:r>
                </w:p>
              </w:tc>
            </w:tr>
            <w:tr w14:paraId="1D000B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vMerge w:val="continue"/>
                  <w:vAlign w:val="center"/>
                </w:tcPr>
                <w:p w14:paraId="17FB2F5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2058" w:type="pct"/>
                  <w:vMerge w:val="continue"/>
                  <w:vAlign w:val="center"/>
                </w:tcPr>
                <w:p w14:paraId="26232F2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879" w:type="pct"/>
                  <w:vAlign w:val="center"/>
                </w:tcPr>
                <w:p w14:paraId="7BE8A92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b w:val="0"/>
                      <w:bCs w:val="0"/>
                      <w:color w:val="auto"/>
                      <w:sz w:val="21"/>
                      <w:szCs w:val="21"/>
                      <w:highlight w:val="none"/>
                      <w:lang w:val="en-US" w:eastAsia="zh-CN"/>
                    </w:rPr>
                  </w:pPr>
                  <w:r>
                    <w:rPr>
                      <w:rFonts w:hint="eastAsia" w:ascii="Times New Roman" w:hAnsi="Times New Roman" w:eastAsia="宋体" w:cs="Times New Roman"/>
                      <w:color w:val="auto"/>
                      <w:sz w:val="21"/>
                      <w:szCs w:val="21"/>
                      <w:lang w:eastAsia="zh-CN"/>
                    </w:rPr>
                    <w:t>总氮</w:t>
                  </w:r>
                </w:p>
              </w:tc>
              <w:tc>
                <w:tcPr>
                  <w:tcW w:w="1433" w:type="pct"/>
                  <w:vAlign w:val="center"/>
                </w:tcPr>
                <w:p w14:paraId="0B8D748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color w:val="auto"/>
                      <w:sz w:val="21"/>
                      <w:szCs w:val="21"/>
                      <w:lang w:val="en-US" w:eastAsia="zh-CN"/>
                    </w:rPr>
                  </w:pPr>
                  <w:r>
                    <w:rPr>
                      <w:rFonts w:hint="eastAsia" w:cs="Times New Roman"/>
                      <w:color w:val="auto"/>
                      <w:sz w:val="21"/>
                      <w:szCs w:val="21"/>
                      <w:lang w:val="en-US" w:eastAsia="zh-CN"/>
                    </w:rPr>
                    <w:t>70</w:t>
                  </w:r>
                  <w:r>
                    <w:rPr>
                      <w:rFonts w:hint="eastAsia" w:ascii="Times New Roman" w:hAnsi="Times New Roman" w:eastAsia="宋体" w:cs="Times New Roman"/>
                      <w:color w:val="auto"/>
                      <w:kern w:val="0"/>
                      <w:sz w:val="21"/>
                      <w:szCs w:val="21"/>
                      <w:lang w:eastAsia="zh-CN"/>
                    </w:rPr>
                    <w:t>（</w:t>
                  </w:r>
                  <w:r>
                    <w:rPr>
                      <w:rFonts w:hint="default" w:ascii="Times New Roman" w:hAnsi="Times New Roman" w:eastAsia="宋体" w:cs="Times New Roman"/>
                      <w:color w:val="auto"/>
                      <w:kern w:val="0"/>
                      <w:sz w:val="21"/>
                      <w:szCs w:val="21"/>
                    </w:rPr>
                    <w:t>mg/L</w:t>
                  </w:r>
                  <w:r>
                    <w:rPr>
                      <w:rFonts w:hint="eastAsia" w:ascii="Times New Roman" w:hAnsi="Times New Roman" w:eastAsia="宋体" w:cs="Times New Roman"/>
                      <w:color w:val="auto"/>
                      <w:kern w:val="0"/>
                      <w:sz w:val="21"/>
                      <w:szCs w:val="21"/>
                      <w:lang w:eastAsia="zh-CN"/>
                    </w:rPr>
                    <w:t>）</w:t>
                  </w:r>
                </w:p>
              </w:tc>
            </w:tr>
            <w:tr w14:paraId="6D0C31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vMerge w:val="continue"/>
                  <w:vAlign w:val="center"/>
                </w:tcPr>
                <w:p w14:paraId="035E266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2058" w:type="pct"/>
                  <w:vMerge w:val="continue"/>
                  <w:vAlign w:val="center"/>
                </w:tcPr>
                <w:p w14:paraId="3832BB6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879" w:type="pct"/>
                  <w:vAlign w:val="center"/>
                </w:tcPr>
                <w:p w14:paraId="46AE948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b w:val="0"/>
                      <w:bCs w:val="0"/>
                      <w:color w:val="auto"/>
                      <w:kern w:val="2"/>
                      <w:sz w:val="21"/>
                      <w:szCs w:val="21"/>
                      <w:highlight w:val="none"/>
                      <w:lang w:val="en-US" w:eastAsia="zh-CN" w:bidi="ar-SA"/>
                    </w:rPr>
                    <w:t>总磷</w:t>
                  </w:r>
                </w:p>
              </w:tc>
              <w:tc>
                <w:tcPr>
                  <w:tcW w:w="1433" w:type="pct"/>
                  <w:vAlign w:val="center"/>
                </w:tcPr>
                <w:p w14:paraId="2243510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s="Times New Roman"/>
                      <w:b w:val="0"/>
                      <w:bCs w:val="0"/>
                      <w:color w:val="auto"/>
                      <w:kern w:val="2"/>
                      <w:sz w:val="21"/>
                      <w:szCs w:val="21"/>
                      <w:highlight w:val="none"/>
                      <w:lang w:val="en-US" w:eastAsia="zh-CN" w:bidi="ar-SA"/>
                    </w:rPr>
                    <w:t>8</w:t>
                  </w:r>
                  <w:r>
                    <w:rPr>
                      <w:rFonts w:hint="eastAsia" w:ascii="Times New Roman" w:hAnsi="Times New Roman" w:eastAsia="宋体" w:cs="Times New Roman"/>
                      <w:b w:val="0"/>
                      <w:bCs w:val="0"/>
                      <w:color w:val="auto"/>
                      <w:kern w:val="2"/>
                      <w:sz w:val="21"/>
                      <w:szCs w:val="21"/>
                      <w:highlight w:val="none"/>
                      <w:lang w:val="en-US" w:eastAsia="zh-CN" w:bidi="ar-SA"/>
                    </w:rPr>
                    <w:t>（</w:t>
                  </w:r>
                  <w:r>
                    <w:rPr>
                      <w:rFonts w:hint="default" w:ascii="Times New Roman" w:hAnsi="Times New Roman" w:eastAsia="宋体" w:cs="Times New Roman"/>
                      <w:b w:val="0"/>
                      <w:bCs w:val="0"/>
                      <w:color w:val="auto"/>
                      <w:sz w:val="21"/>
                      <w:szCs w:val="21"/>
                      <w:highlight w:val="none"/>
                      <w:lang w:val="en-US" w:eastAsia="zh-CN"/>
                    </w:rPr>
                    <w:t>mg/</w:t>
                  </w:r>
                  <w:r>
                    <w:rPr>
                      <w:rFonts w:hint="eastAsia" w:ascii="Times New Roman" w:hAnsi="Times New Roman" w:eastAsia="宋体" w:cs="Times New Roman"/>
                      <w:b w:val="0"/>
                      <w:bCs w:val="0"/>
                      <w:color w:val="auto"/>
                      <w:sz w:val="21"/>
                      <w:szCs w:val="21"/>
                      <w:highlight w:val="none"/>
                      <w:lang w:val="en-US" w:eastAsia="zh-CN"/>
                    </w:rPr>
                    <w:t>L</w:t>
                  </w:r>
                  <w:r>
                    <w:rPr>
                      <w:rFonts w:hint="eastAsia" w:ascii="Times New Roman" w:hAnsi="Times New Roman" w:eastAsia="宋体" w:cs="Times New Roman"/>
                      <w:b w:val="0"/>
                      <w:bCs w:val="0"/>
                      <w:color w:val="auto"/>
                      <w:sz w:val="21"/>
                      <w:szCs w:val="21"/>
                      <w:highlight w:val="none"/>
                      <w:vertAlign w:val="baseline"/>
                      <w:lang w:val="en-US" w:eastAsia="zh-CN"/>
                    </w:rPr>
                    <w:t>）</w:t>
                  </w:r>
                </w:p>
              </w:tc>
            </w:tr>
            <w:tr w14:paraId="234022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vMerge w:val="restart"/>
                  <w:vAlign w:val="center"/>
                </w:tcPr>
                <w:p w14:paraId="7B5EBE6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eastAsia="zh-CN"/>
                    </w:rPr>
                    <w:t>生产废水</w:t>
                  </w:r>
                </w:p>
              </w:tc>
              <w:tc>
                <w:tcPr>
                  <w:tcW w:w="2058" w:type="pct"/>
                  <w:vMerge w:val="restart"/>
                  <w:vAlign w:val="center"/>
                </w:tcPr>
                <w:p w14:paraId="0A83E20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lang w:val="en-US" w:eastAsia="zh-CN"/>
                    </w:rPr>
                    <w:t>佛坪县污水处理厂进水水质要求</w:t>
                  </w:r>
                </w:p>
              </w:tc>
              <w:tc>
                <w:tcPr>
                  <w:tcW w:w="1595" w:type="dxa"/>
                  <w:vAlign w:val="center"/>
                </w:tcPr>
                <w:p w14:paraId="18898B8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olor w:val="auto"/>
                      <w:sz w:val="21"/>
                      <w:szCs w:val="21"/>
                    </w:rPr>
                    <w:t>p</w:t>
                  </w:r>
                  <w:r>
                    <w:rPr>
                      <w:color w:val="auto"/>
                      <w:sz w:val="21"/>
                      <w:szCs w:val="21"/>
                    </w:rPr>
                    <w:t>H</w:t>
                  </w:r>
                </w:p>
              </w:tc>
              <w:tc>
                <w:tcPr>
                  <w:tcW w:w="2600" w:type="dxa"/>
                  <w:vAlign w:val="center"/>
                </w:tcPr>
                <w:p w14:paraId="3C75292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kern w:val="2"/>
                      <w:sz w:val="21"/>
                      <w:szCs w:val="21"/>
                      <w:highlight w:val="none"/>
                      <w:lang w:val="en-US" w:eastAsia="zh-CN" w:bidi="ar-SA"/>
                    </w:rPr>
                  </w:pPr>
                  <w:r>
                    <w:rPr>
                      <w:color w:val="auto"/>
                      <w:sz w:val="21"/>
                      <w:szCs w:val="21"/>
                    </w:rPr>
                    <w:t>6</w:t>
                  </w:r>
                  <w:r>
                    <w:rPr>
                      <w:rFonts w:hint="eastAsia"/>
                      <w:color w:val="auto"/>
                      <w:sz w:val="21"/>
                      <w:szCs w:val="21"/>
                      <w:lang w:val="en-US" w:eastAsia="zh-CN"/>
                    </w:rPr>
                    <w:t>.5~8.5</w:t>
                  </w:r>
                  <w:r>
                    <w:rPr>
                      <w:rFonts w:hint="eastAsia"/>
                      <w:color w:val="auto"/>
                      <w:sz w:val="21"/>
                      <w:szCs w:val="21"/>
                    </w:rPr>
                    <w:t>（无量纲）</w:t>
                  </w:r>
                </w:p>
              </w:tc>
            </w:tr>
            <w:tr w14:paraId="27179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vMerge w:val="continue"/>
                  <w:vAlign w:val="center"/>
                </w:tcPr>
                <w:p w14:paraId="78475CB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lang w:eastAsia="zh-CN"/>
                    </w:rPr>
                  </w:pPr>
                </w:p>
              </w:tc>
              <w:tc>
                <w:tcPr>
                  <w:tcW w:w="2058" w:type="pct"/>
                  <w:vMerge w:val="continue"/>
                  <w:vAlign w:val="center"/>
                </w:tcPr>
                <w:p w14:paraId="7E3467E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lang w:val="en-US" w:eastAsia="zh-CN"/>
                    </w:rPr>
                  </w:pPr>
                </w:p>
              </w:tc>
              <w:tc>
                <w:tcPr>
                  <w:tcW w:w="879" w:type="pct"/>
                  <w:vAlign w:val="center"/>
                </w:tcPr>
                <w:p w14:paraId="070AC52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color w:val="auto"/>
                      <w:sz w:val="21"/>
                      <w:szCs w:val="21"/>
                    </w:rPr>
                    <w:t>COD</w:t>
                  </w:r>
                </w:p>
              </w:tc>
              <w:tc>
                <w:tcPr>
                  <w:tcW w:w="1433" w:type="pct"/>
                  <w:vAlign w:val="center"/>
                </w:tcPr>
                <w:p w14:paraId="5F56F56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olor w:val="auto"/>
                      <w:sz w:val="21"/>
                      <w:szCs w:val="21"/>
                      <w:lang w:val="en-US" w:eastAsia="zh-CN"/>
                    </w:rPr>
                    <w:t>4</w:t>
                  </w:r>
                  <w:r>
                    <w:rPr>
                      <w:color w:val="auto"/>
                      <w:sz w:val="21"/>
                      <w:szCs w:val="21"/>
                    </w:rPr>
                    <w:t>00</w:t>
                  </w:r>
                  <w:r>
                    <w:rPr>
                      <w:rFonts w:hint="eastAsia"/>
                      <w:color w:val="auto"/>
                      <w:sz w:val="21"/>
                      <w:szCs w:val="21"/>
                    </w:rPr>
                    <w:t>（</w:t>
                  </w:r>
                  <w:r>
                    <w:rPr>
                      <w:color w:val="auto"/>
                      <w:sz w:val="21"/>
                      <w:szCs w:val="21"/>
                    </w:rPr>
                    <w:t>mg/</w:t>
                  </w:r>
                  <w:r>
                    <w:rPr>
                      <w:rFonts w:hint="eastAsia"/>
                      <w:color w:val="auto"/>
                      <w:sz w:val="21"/>
                      <w:szCs w:val="21"/>
                    </w:rPr>
                    <w:t>L）</w:t>
                  </w:r>
                </w:p>
              </w:tc>
            </w:tr>
            <w:tr w14:paraId="6B8A3D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vMerge w:val="continue"/>
                  <w:vAlign w:val="center"/>
                </w:tcPr>
                <w:p w14:paraId="7F5CEF5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2058" w:type="pct"/>
                  <w:vMerge w:val="continue"/>
                  <w:vAlign w:val="center"/>
                </w:tcPr>
                <w:p w14:paraId="1BD74F0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879" w:type="pct"/>
                  <w:vAlign w:val="center"/>
                </w:tcPr>
                <w:p w14:paraId="2BD42AF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color w:val="auto"/>
                      <w:sz w:val="21"/>
                      <w:szCs w:val="21"/>
                    </w:rPr>
                    <w:t>BOD</w:t>
                  </w:r>
                  <w:r>
                    <w:rPr>
                      <w:color w:val="auto"/>
                      <w:sz w:val="21"/>
                      <w:szCs w:val="21"/>
                      <w:vertAlign w:val="subscript"/>
                    </w:rPr>
                    <w:t>5</w:t>
                  </w:r>
                </w:p>
              </w:tc>
              <w:tc>
                <w:tcPr>
                  <w:tcW w:w="1433" w:type="pct"/>
                  <w:vAlign w:val="center"/>
                </w:tcPr>
                <w:p w14:paraId="3DC6F2E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kern w:val="2"/>
                      <w:sz w:val="21"/>
                      <w:szCs w:val="21"/>
                      <w:highlight w:val="none"/>
                      <w:lang w:val="en-US" w:eastAsia="zh-CN" w:bidi="ar-SA"/>
                    </w:rPr>
                  </w:pPr>
                  <w:r>
                    <w:rPr>
                      <w:rFonts w:hint="eastAsia"/>
                      <w:color w:val="auto"/>
                      <w:sz w:val="21"/>
                      <w:szCs w:val="21"/>
                      <w:lang w:val="en-US" w:eastAsia="zh-CN"/>
                    </w:rPr>
                    <w:t>19</w:t>
                  </w:r>
                  <w:r>
                    <w:rPr>
                      <w:rFonts w:hint="eastAsia"/>
                      <w:color w:val="auto"/>
                      <w:sz w:val="21"/>
                      <w:szCs w:val="21"/>
                    </w:rPr>
                    <w:t>0（</w:t>
                  </w:r>
                  <w:r>
                    <w:rPr>
                      <w:color w:val="auto"/>
                      <w:sz w:val="21"/>
                      <w:szCs w:val="21"/>
                    </w:rPr>
                    <w:t>mg/</w:t>
                  </w:r>
                  <w:r>
                    <w:rPr>
                      <w:rFonts w:hint="eastAsia"/>
                      <w:color w:val="auto"/>
                      <w:sz w:val="21"/>
                      <w:szCs w:val="21"/>
                    </w:rPr>
                    <w:t>L）</w:t>
                  </w:r>
                </w:p>
              </w:tc>
            </w:tr>
            <w:tr w14:paraId="466079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vMerge w:val="continue"/>
                  <w:vAlign w:val="center"/>
                </w:tcPr>
                <w:p w14:paraId="7A4FD9F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2058" w:type="pct"/>
                  <w:vMerge w:val="continue"/>
                  <w:vAlign w:val="center"/>
                </w:tcPr>
                <w:p w14:paraId="0F4FDD0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879" w:type="pct"/>
                  <w:vAlign w:val="center"/>
                </w:tcPr>
                <w:p w14:paraId="1019D1F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olor w:val="auto"/>
                      <w:sz w:val="21"/>
                      <w:szCs w:val="21"/>
                      <w:lang w:eastAsia="zh-CN"/>
                    </w:rPr>
                    <w:t>悬浮物</w:t>
                  </w:r>
                </w:p>
              </w:tc>
              <w:tc>
                <w:tcPr>
                  <w:tcW w:w="1433" w:type="pct"/>
                  <w:vAlign w:val="center"/>
                </w:tcPr>
                <w:p w14:paraId="7624A7B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val="0"/>
                      <w:color w:val="auto"/>
                      <w:kern w:val="2"/>
                      <w:sz w:val="21"/>
                      <w:szCs w:val="21"/>
                      <w:highlight w:val="none"/>
                      <w:lang w:val="en-US" w:eastAsia="zh-CN" w:bidi="ar-SA"/>
                    </w:rPr>
                  </w:pPr>
                  <w:r>
                    <w:rPr>
                      <w:rFonts w:hint="eastAsia"/>
                      <w:color w:val="auto"/>
                      <w:sz w:val="21"/>
                      <w:szCs w:val="21"/>
                      <w:lang w:val="en-US" w:eastAsia="zh-CN"/>
                    </w:rPr>
                    <w:t>24</w:t>
                  </w:r>
                  <w:r>
                    <w:rPr>
                      <w:color w:val="auto"/>
                      <w:sz w:val="21"/>
                      <w:szCs w:val="21"/>
                    </w:rPr>
                    <w:t>0</w:t>
                  </w:r>
                  <w:r>
                    <w:rPr>
                      <w:rFonts w:hint="eastAsia"/>
                      <w:color w:val="auto"/>
                      <w:sz w:val="21"/>
                      <w:szCs w:val="21"/>
                    </w:rPr>
                    <w:t>（</w:t>
                  </w:r>
                  <w:r>
                    <w:rPr>
                      <w:color w:val="auto"/>
                      <w:sz w:val="21"/>
                      <w:szCs w:val="21"/>
                    </w:rPr>
                    <w:t>mg/</w:t>
                  </w:r>
                  <w:r>
                    <w:rPr>
                      <w:rFonts w:hint="eastAsia"/>
                      <w:color w:val="auto"/>
                      <w:sz w:val="21"/>
                      <w:szCs w:val="21"/>
                    </w:rPr>
                    <w:t>L）</w:t>
                  </w:r>
                </w:p>
              </w:tc>
            </w:tr>
            <w:tr w14:paraId="4B6178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vMerge w:val="continue"/>
                  <w:vAlign w:val="center"/>
                </w:tcPr>
                <w:p w14:paraId="2C67A24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2058" w:type="pct"/>
                  <w:vMerge w:val="continue"/>
                  <w:vAlign w:val="center"/>
                </w:tcPr>
                <w:p w14:paraId="076A366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879" w:type="pct"/>
                  <w:vAlign w:val="center"/>
                </w:tcPr>
                <w:p w14:paraId="6AB7931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color w:val="auto"/>
                      <w:sz w:val="21"/>
                      <w:szCs w:val="21"/>
                      <w:lang w:eastAsia="zh-CN"/>
                    </w:rPr>
                    <w:t>总氮</w:t>
                  </w:r>
                </w:p>
              </w:tc>
              <w:tc>
                <w:tcPr>
                  <w:tcW w:w="1433" w:type="pct"/>
                  <w:vAlign w:val="center"/>
                </w:tcPr>
                <w:p w14:paraId="5BAE7CF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cs="Times New Roman"/>
                      <w:b w:val="0"/>
                      <w:bCs w:val="0"/>
                      <w:color w:val="auto"/>
                      <w:kern w:val="2"/>
                      <w:sz w:val="21"/>
                      <w:szCs w:val="21"/>
                      <w:highlight w:val="none"/>
                      <w:lang w:val="en-US" w:eastAsia="zh-CN" w:bidi="ar-SA"/>
                    </w:rPr>
                  </w:pPr>
                  <w:r>
                    <w:rPr>
                      <w:rFonts w:hint="eastAsia" w:cs="Times New Roman"/>
                      <w:color w:val="auto"/>
                      <w:sz w:val="21"/>
                      <w:szCs w:val="21"/>
                      <w:lang w:val="en-US" w:eastAsia="zh-CN"/>
                    </w:rPr>
                    <w:t>35</w:t>
                  </w:r>
                  <w:r>
                    <w:rPr>
                      <w:rFonts w:hint="eastAsia" w:ascii="Times New Roman" w:hAnsi="Times New Roman" w:eastAsia="宋体" w:cs="Times New Roman"/>
                      <w:color w:val="auto"/>
                      <w:kern w:val="0"/>
                      <w:sz w:val="21"/>
                      <w:szCs w:val="21"/>
                      <w:lang w:eastAsia="zh-CN"/>
                    </w:rPr>
                    <w:t>（</w:t>
                  </w:r>
                  <w:r>
                    <w:rPr>
                      <w:rFonts w:hint="default" w:ascii="Times New Roman" w:hAnsi="Times New Roman" w:eastAsia="宋体" w:cs="Times New Roman"/>
                      <w:color w:val="auto"/>
                      <w:kern w:val="0"/>
                      <w:sz w:val="21"/>
                      <w:szCs w:val="21"/>
                    </w:rPr>
                    <w:t>mg/L</w:t>
                  </w:r>
                  <w:r>
                    <w:rPr>
                      <w:rFonts w:hint="eastAsia" w:ascii="Times New Roman" w:hAnsi="Times New Roman" w:eastAsia="宋体" w:cs="Times New Roman"/>
                      <w:color w:val="auto"/>
                      <w:kern w:val="0"/>
                      <w:sz w:val="21"/>
                      <w:szCs w:val="21"/>
                      <w:lang w:eastAsia="zh-CN"/>
                    </w:rPr>
                    <w:t>）</w:t>
                  </w:r>
                </w:p>
              </w:tc>
            </w:tr>
            <w:tr w14:paraId="7626FA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vMerge w:val="continue"/>
                  <w:vAlign w:val="center"/>
                </w:tcPr>
                <w:p w14:paraId="797970D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2058" w:type="pct"/>
                  <w:vMerge w:val="continue"/>
                  <w:vAlign w:val="center"/>
                </w:tcPr>
                <w:p w14:paraId="56FE79F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879" w:type="pct"/>
                  <w:vAlign w:val="center"/>
                </w:tcPr>
                <w:p w14:paraId="029D40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总磷</w:t>
                  </w:r>
                </w:p>
              </w:tc>
              <w:tc>
                <w:tcPr>
                  <w:tcW w:w="1433" w:type="pct"/>
                  <w:vAlign w:val="center"/>
                </w:tcPr>
                <w:p w14:paraId="1C5459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5</w:t>
                  </w:r>
                  <w:r>
                    <w:rPr>
                      <w:rFonts w:hint="eastAsia" w:ascii="Times New Roman" w:hAnsi="Times New Roman" w:eastAsia="宋体" w:cs="Times New Roman"/>
                      <w:b w:val="0"/>
                      <w:bCs w:val="0"/>
                      <w:color w:val="auto"/>
                      <w:kern w:val="2"/>
                      <w:sz w:val="21"/>
                      <w:szCs w:val="21"/>
                      <w:highlight w:val="none"/>
                      <w:lang w:val="en-US" w:eastAsia="zh-CN" w:bidi="ar-SA"/>
                    </w:rPr>
                    <w:t>（</w:t>
                  </w:r>
                  <w:r>
                    <w:rPr>
                      <w:rFonts w:hint="default" w:ascii="Times New Roman" w:hAnsi="Times New Roman" w:eastAsia="宋体" w:cs="Times New Roman"/>
                      <w:b w:val="0"/>
                      <w:bCs w:val="0"/>
                      <w:color w:val="auto"/>
                      <w:sz w:val="21"/>
                      <w:szCs w:val="21"/>
                      <w:highlight w:val="none"/>
                      <w:lang w:val="en-US" w:eastAsia="zh-CN"/>
                    </w:rPr>
                    <w:t>mg/</w:t>
                  </w:r>
                  <w:r>
                    <w:rPr>
                      <w:rFonts w:hint="eastAsia" w:ascii="Times New Roman" w:hAnsi="Times New Roman" w:eastAsia="宋体" w:cs="Times New Roman"/>
                      <w:b w:val="0"/>
                      <w:bCs w:val="0"/>
                      <w:color w:val="auto"/>
                      <w:sz w:val="21"/>
                      <w:szCs w:val="21"/>
                      <w:highlight w:val="none"/>
                      <w:lang w:val="en-US" w:eastAsia="zh-CN"/>
                    </w:rPr>
                    <w:t>L</w:t>
                  </w:r>
                  <w:r>
                    <w:rPr>
                      <w:rFonts w:hint="eastAsia" w:ascii="Times New Roman" w:hAnsi="Times New Roman" w:eastAsia="宋体" w:cs="Times New Roman"/>
                      <w:b w:val="0"/>
                      <w:bCs w:val="0"/>
                      <w:color w:val="auto"/>
                      <w:sz w:val="21"/>
                      <w:szCs w:val="21"/>
                      <w:highlight w:val="none"/>
                      <w:vertAlign w:val="baseline"/>
                      <w:lang w:val="en-US" w:eastAsia="zh-CN"/>
                    </w:rPr>
                    <w:t>）</w:t>
                  </w:r>
                </w:p>
              </w:tc>
            </w:tr>
          </w:tbl>
          <w:p w14:paraId="46C421DB">
            <w:pPr>
              <w:keepNext w:val="0"/>
              <w:keepLines w:val="0"/>
              <w:pageBreakBefore w:val="0"/>
              <w:widowControl w:val="0"/>
              <w:kinsoku/>
              <w:wordWrap/>
              <w:overflowPunct/>
              <w:topLinePunct w:val="0"/>
              <w:autoSpaceDE/>
              <w:autoSpaceDN/>
              <w:bidi w:val="0"/>
              <w:adjustRightInd/>
              <w:snapToGrid/>
              <w:ind w:firstLine="482" w:firstLineChars="200"/>
              <w:textAlignment w:val="auto"/>
              <w:rPr>
                <w:rFonts w:ascii="Times New Roman" w:hAnsi="Times New Roman" w:eastAsia="宋体"/>
                <w:b/>
                <w:bCs/>
                <w:color w:val="auto"/>
                <w:sz w:val="24"/>
                <w:szCs w:val="24"/>
                <w:highlight w:val="none"/>
              </w:rPr>
            </w:pPr>
            <w:r>
              <w:rPr>
                <w:rFonts w:ascii="Times New Roman" w:hAnsi="Times New Roman" w:eastAsia="宋体"/>
                <w:b/>
                <w:bCs/>
                <w:color w:val="auto"/>
                <w:sz w:val="24"/>
                <w:szCs w:val="24"/>
                <w:highlight w:val="none"/>
              </w:rPr>
              <w:t>（3）噪声</w:t>
            </w:r>
          </w:p>
          <w:p w14:paraId="22B135F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eastAsia"/>
                <w:color w:val="auto"/>
                <w:sz w:val="24"/>
                <w:lang w:val="en-US" w:eastAsia="zh-CN"/>
              </w:rPr>
              <w:t>本</w:t>
            </w:r>
            <w:r>
              <w:rPr>
                <w:rFonts w:hint="eastAsia"/>
                <w:color w:val="auto"/>
                <w:sz w:val="24"/>
              </w:rPr>
              <w:t>项目运营期厂界噪声执行《工业企业厂界环境噪声排放标准》（GB</w:t>
            </w:r>
            <w:r>
              <w:rPr>
                <w:rFonts w:hint="eastAsia"/>
                <w:color w:val="auto"/>
                <w:sz w:val="24"/>
                <w:lang w:val="en-US" w:eastAsia="zh-CN"/>
              </w:rPr>
              <w:t xml:space="preserve"> </w:t>
            </w:r>
            <w:r>
              <w:rPr>
                <w:rFonts w:hint="eastAsia"/>
                <w:color w:val="auto"/>
                <w:sz w:val="24"/>
              </w:rPr>
              <w:t>12348-2008）</w:t>
            </w:r>
            <w:r>
              <w:rPr>
                <w:rFonts w:hint="eastAsia"/>
                <w:color w:val="auto"/>
                <w:sz w:val="24"/>
                <w:lang w:val="en-US" w:eastAsia="zh-CN"/>
              </w:rPr>
              <w:t>2</w:t>
            </w:r>
            <w:r>
              <w:rPr>
                <w:rFonts w:hint="eastAsia"/>
                <w:color w:val="auto"/>
                <w:sz w:val="24"/>
              </w:rPr>
              <w:t>类标准限值</w:t>
            </w:r>
            <w:r>
              <w:rPr>
                <w:rFonts w:hint="eastAsia"/>
                <w:color w:val="auto"/>
                <w:sz w:val="24"/>
                <w:lang w:eastAsia="zh-CN"/>
              </w:rPr>
              <w:t>，详见下表：</w:t>
            </w:r>
          </w:p>
          <w:p w14:paraId="0F2931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kern w:val="0"/>
                <w:sz w:val="21"/>
                <w:szCs w:val="21"/>
              </w:rPr>
            </w:pPr>
            <w:bookmarkStart w:id="37" w:name="OLE_LINK184"/>
            <w:r>
              <w:rPr>
                <w:rFonts w:hint="eastAsia" w:cs="宋体"/>
                <w:b/>
                <w:bCs/>
                <w:color w:val="auto"/>
                <w:kern w:val="0"/>
                <w:sz w:val="21"/>
                <w:szCs w:val="21"/>
              </w:rPr>
              <w:t>表3-</w:t>
            </w:r>
            <w:r>
              <w:rPr>
                <w:rFonts w:hint="eastAsia" w:cs="宋体"/>
                <w:b/>
                <w:bCs/>
                <w:color w:val="auto"/>
                <w:kern w:val="0"/>
                <w:sz w:val="21"/>
                <w:szCs w:val="21"/>
                <w:lang w:val="en-US" w:eastAsia="zh-CN"/>
              </w:rPr>
              <w:t>7</w:t>
            </w:r>
            <w:r>
              <w:rPr>
                <w:rFonts w:hint="eastAsia" w:cs="宋体"/>
                <w:b/>
                <w:bCs/>
                <w:color w:val="auto"/>
                <w:kern w:val="0"/>
                <w:sz w:val="21"/>
                <w:szCs w:val="21"/>
              </w:rPr>
              <w:t xml:space="preserve"> </w:t>
            </w:r>
            <w:r>
              <w:rPr>
                <w:rFonts w:hint="eastAsia" w:cs="Times New Roman"/>
                <w:b/>
                <w:bCs/>
                <w:color w:val="auto"/>
                <w:sz w:val="21"/>
                <w:szCs w:val="21"/>
                <w:lang w:eastAsia="zh-CN"/>
              </w:rPr>
              <w:t>运营</w:t>
            </w:r>
            <w:r>
              <w:rPr>
                <w:rFonts w:hint="eastAsia" w:ascii="Times New Roman" w:hAnsi="Times New Roman" w:eastAsia="宋体" w:cs="Times New Roman"/>
                <w:b/>
                <w:bCs/>
                <w:color w:val="auto"/>
                <w:sz w:val="21"/>
                <w:szCs w:val="21"/>
              </w:rPr>
              <w:t>期</w:t>
            </w:r>
            <w:r>
              <w:rPr>
                <w:rFonts w:hint="eastAsia" w:cs="宋体"/>
                <w:b/>
                <w:bCs/>
                <w:color w:val="auto"/>
                <w:kern w:val="0"/>
                <w:sz w:val="21"/>
                <w:szCs w:val="21"/>
              </w:rPr>
              <w:t>噪声排放标准</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877"/>
              <w:gridCol w:w="2600"/>
              <w:gridCol w:w="697"/>
              <w:gridCol w:w="1425"/>
              <w:gridCol w:w="1476"/>
            </w:tblGrid>
            <w:tr w14:paraId="06C6F7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43" w:hRule="atLeast"/>
                <w:jc w:val="center"/>
              </w:trPr>
              <w:tc>
                <w:tcPr>
                  <w:tcW w:w="1585" w:type="pct"/>
                  <w:vMerge w:val="restart"/>
                  <w:tcBorders>
                    <w:tl2br w:val="nil"/>
                    <w:tr2bl w:val="nil"/>
                  </w:tcBorders>
                  <w:vAlign w:val="center"/>
                </w:tcPr>
                <w:p w14:paraId="50E230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执行标准名称及标准号</w:t>
                  </w:r>
                </w:p>
              </w:tc>
              <w:tc>
                <w:tcPr>
                  <w:tcW w:w="1432" w:type="pct"/>
                  <w:vMerge w:val="restart"/>
                  <w:tcBorders>
                    <w:tl2br w:val="nil"/>
                    <w:tr2bl w:val="nil"/>
                  </w:tcBorders>
                  <w:vAlign w:val="center"/>
                </w:tcPr>
                <w:p w14:paraId="2A5349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监控点位</w:t>
                  </w:r>
                </w:p>
              </w:tc>
              <w:tc>
                <w:tcPr>
                  <w:tcW w:w="384" w:type="pct"/>
                  <w:vMerge w:val="restart"/>
                  <w:tcBorders>
                    <w:tl2br w:val="nil"/>
                    <w:tr2bl w:val="nil"/>
                  </w:tcBorders>
                  <w:vAlign w:val="center"/>
                </w:tcPr>
                <w:p w14:paraId="0101FA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eastAsia" w:ascii="Times New Roman" w:hAnsi="Times New Roman" w:cs="Times New Roman"/>
                      <w:b/>
                      <w:bCs/>
                      <w:color w:val="auto"/>
                      <w:sz w:val="21"/>
                      <w:szCs w:val="21"/>
                      <w:highlight w:val="none"/>
                      <w:lang w:eastAsia="zh-CN"/>
                    </w:rPr>
                    <w:t>级别</w:t>
                  </w:r>
                </w:p>
              </w:tc>
              <w:tc>
                <w:tcPr>
                  <w:tcW w:w="1598" w:type="pct"/>
                  <w:gridSpan w:val="2"/>
                  <w:tcBorders>
                    <w:tl2br w:val="nil"/>
                    <w:tr2bl w:val="nil"/>
                  </w:tcBorders>
                  <w:vAlign w:val="center"/>
                </w:tcPr>
                <w:p w14:paraId="06488B4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lang w:val="en-GB" w:eastAsia="zh-CN"/>
                    </w:rPr>
                    <w:t>标准限值</w:t>
                  </w:r>
                </w:p>
              </w:tc>
            </w:tr>
            <w:tr w14:paraId="2A7513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1585" w:type="pct"/>
                  <w:vMerge w:val="continue"/>
                  <w:tcBorders>
                    <w:tl2br w:val="nil"/>
                    <w:tr2bl w:val="nil"/>
                  </w:tcBorders>
                  <w:vAlign w:val="center"/>
                </w:tcPr>
                <w:p w14:paraId="0A4582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1432" w:type="pct"/>
                  <w:vMerge w:val="continue"/>
                  <w:tcBorders>
                    <w:tl2br w:val="nil"/>
                    <w:tr2bl w:val="nil"/>
                  </w:tcBorders>
                  <w:vAlign w:val="center"/>
                </w:tcPr>
                <w:p w14:paraId="6D26F1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384" w:type="pct"/>
                  <w:vMerge w:val="continue"/>
                  <w:tcBorders>
                    <w:tl2br w:val="nil"/>
                    <w:tr2bl w:val="nil"/>
                  </w:tcBorders>
                  <w:vAlign w:val="center"/>
                </w:tcPr>
                <w:p w14:paraId="40A196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785" w:type="pct"/>
                  <w:tcBorders>
                    <w:tl2br w:val="nil"/>
                    <w:tr2bl w:val="nil"/>
                  </w:tcBorders>
                  <w:vAlign w:val="center"/>
                </w:tcPr>
                <w:p w14:paraId="201703F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color w:val="auto"/>
                      <w:sz w:val="21"/>
                      <w:szCs w:val="21"/>
                    </w:rPr>
                  </w:pPr>
                  <w:r>
                    <w:rPr>
                      <w:rFonts w:hint="default" w:ascii="Times New Roman" w:hAnsi="Times New Roman" w:eastAsia="宋体" w:cs="Times New Roman"/>
                      <w:b/>
                      <w:bCs/>
                      <w:color w:val="auto"/>
                      <w:sz w:val="21"/>
                      <w:szCs w:val="21"/>
                      <w:lang w:val="en-GB"/>
                    </w:rPr>
                    <w:t>昼间</w:t>
                  </w:r>
                  <w:r>
                    <w:rPr>
                      <w:rFonts w:hint="eastAsia" w:ascii="Times New Roman" w:hAnsi="Times New Roman" w:eastAsia="宋体" w:cs="Times New Roman"/>
                      <w:b/>
                      <w:bCs/>
                      <w:color w:val="auto"/>
                      <w:sz w:val="21"/>
                      <w:szCs w:val="21"/>
                      <w:lang w:val="en-GB" w:eastAsia="zh-CN"/>
                    </w:rPr>
                    <w:t>（</w:t>
                  </w:r>
                  <w:r>
                    <w:rPr>
                      <w:rFonts w:hint="default" w:ascii="Times New Roman" w:hAnsi="Times New Roman" w:eastAsia="宋体" w:cs="Times New Roman"/>
                      <w:b/>
                      <w:bCs/>
                      <w:color w:val="auto"/>
                      <w:sz w:val="21"/>
                      <w:szCs w:val="21"/>
                      <w:vertAlign w:val="baseline"/>
                      <w:lang w:val="en-US" w:eastAsia="zh-CN"/>
                    </w:rPr>
                    <w:t>dB(A)</w:t>
                  </w:r>
                  <w:r>
                    <w:rPr>
                      <w:rFonts w:hint="eastAsia" w:ascii="Times New Roman" w:hAnsi="Times New Roman" w:eastAsia="宋体" w:cs="Times New Roman"/>
                      <w:b/>
                      <w:bCs/>
                      <w:color w:val="auto"/>
                      <w:sz w:val="21"/>
                      <w:szCs w:val="21"/>
                      <w:lang w:val="en-GB" w:eastAsia="zh-CN"/>
                    </w:rPr>
                    <w:t>）</w:t>
                  </w:r>
                </w:p>
              </w:tc>
              <w:tc>
                <w:tcPr>
                  <w:tcW w:w="813" w:type="pct"/>
                  <w:tcBorders>
                    <w:tl2br w:val="nil"/>
                    <w:tr2bl w:val="nil"/>
                  </w:tcBorders>
                  <w:vAlign w:val="center"/>
                </w:tcPr>
                <w:p w14:paraId="6920274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color w:val="auto"/>
                      <w:sz w:val="21"/>
                      <w:szCs w:val="21"/>
                    </w:rPr>
                  </w:pPr>
                  <w:r>
                    <w:rPr>
                      <w:rFonts w:hint="default" w:ascii="Times New Roman" w:hAnsi="Times New Roman" w:eastAsia="宋体" w:cs="Times New Roman"/>
                      <w:b/>
                      <w:bCs/>
                      <w:color w:val="auto"/>
                      <w:sz w:val="21"/>
                      <w:szCs w:val="21"/>
                      <w:lang w:val="en-GB"/>
                    </w:rPr>
                    <w:t>夜间</w:t>
                  </w:r>
                  <w:r>
                    <w:rPr>
                      <w:rFonts w:hint="eastAsia" w:ascii="Times New Roman" w:hAnsi="Times New Roman" w:eastAsia="宋体" w:cs="Times New Roman"/>
                      <w:b/>
                      <w:bCs/>
                      <w:color w:val="auto"/>
                      <w:sz w:val="21"/>
                      <w:szCs w:val="21"/>
                      <w:lang w:val="en-GB" w:eastAsia="zh-CN"/>
                    </w:rPr>
                    <w:t>（</w:t>
                  </w:r>
                  <w:r>
                    <w:rPr>
                      <w:rFonts w:hint="default" w:ascii="Times New Roman" w:hAnsi="Times New Roman" w:eastAsia="宋体" w:cs="Times New Roman"/>
                      <w:b/>
                      <w:bCs/>
                      <w:color w:val="auto"/>
                      <w:sz w:val="21"/>
                      <w:szCs w:val="21"/>
                      <w:vertAlign w:val="baseline"/>
                      <w:lang w:val="en-US" w:eastAsia="zh-CN"/>
                    </w:rPr>
                    <w:t>dB(A)</w:t>
                  </w:r>
                  <w:r>
                    <w:rPr>
                      <w:rFonts w:hint="eastAsia" w:ascii="Times New Roman" w:hAnsi="Times New Roman" w:eastAsia="宋体" w:cs="Times New Roman"/>
                      <w:b/>
                      <w:bCs/>
                      <w:color w:val="auto"/>
                      <w:sz w:val="21"/>
                      <w:szCs w:val="21"/>
                      <w:lang w:val="en-GB" w:eastAsia="zh-CN"/>
                    </w:rPr>
                    <w:t>）</w:t>
                  </w:r>
                </w:p>
              </w:tc>
            </w:tr>
            <w:tr w14:paraId="2928D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1585" w:type="pct"/>
                  <w:tcBorders>
                    <w:tl2br w:val="nil"/>
                    <w:tr2bl w:val="nil"/>
                  </w:tcBorders>
                  <w:vAlign w:val="center"/>
                </w:tcPr>
                <w:p w14:paraId="1CFF7B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《工业企业厂界环境噪声排放标准》（GB</w:t>
                  </w:r>
                  <w:r>
                    <w:rPr>
                      <w:rFonts w:hint="eastAsia" w:cs="Times New Roman"/>
                      <w:color w:val="auto"/>
                      <w:sz w:val="21"/>
                      <w:szCs w:val="21"/>
                      <w:lang w:val="en-US" w:eastAsia="zh-CN"/>
                    </w:rPr>
                    <w:t xml:space="preserve"> </w:t>
                  </w:r>
                  <w:r>
                    <w:rPr>
                      <w:rFonts w:hint="default" w:ascii="Times New Roman" w:hAnsi="Times New Roman" w:eastAsia="宋体" w:cs="Times New Roman"/>
                      <w:color w:val="auto"/>
                      <w:sz w:val="21"/>
                      <w:szCs w:val="21"/>
                    </w:rPr>
                    <w:t>12348-2008）</w:t>
                  </w:r>
                </w:p>
              </w:tc>
              <w:tc>
                <w:tcPr>
                  <w:tcW w:w="1432" w:type="pct"/>
                  <w:tcBorders>
                    <w:tl2br w:val="nil"/>
                    <w:tr2bl w:val="nil"/>
                  </w:tcBorders>
                  <w:vAlign w:val="center"/>
                </w:tcPr>
                <w:p w14:paraId="433A08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项目所在</w:t>
                  </w:r>
                  <w:r>
                    <w:rPr>
                      <w:rFonts w:hint="eastAsia" w:cs="Times New Roman"/>
                      <w:color w:val="auto"/>
                      <w:sz w:val="21"/>
                      <w:szCs w:val="21"/>
                      <w:lang w:eastAsia="zh-CN"/>
                    </w:rPr>
                    <w:t>地</w:t>
                  </w:r>
                  <w:r>
                    <w:rPr>
                      <w:rFonts w:hint="default" w:ascii="Times New Roman" w:hAnsi="Times New Roman" w:eastAsia="宋体" w:cs="Times New Roman"/>
                      <w:color w:val="auto"/>
                      <w:sz w:val="21"/>
                      <w:szCs w:val="21"/>
                    </w:rPr>
                    <w:t>厂界外1m</w:t>
                  </w:r>
                </w:p>
              </w:tc>
              <w:tc>
                <w:tcPr>
                  <w:tcW w:w="384" w:type="pct"/>
                  <w:tcBorders>
                    <w:tl2br w:val="nil"/>
                    <w:tr2bl w:val="nil"/>
                  </w:tcBorders>
                  <w:vAlign w:val="center"/>
                </w:tcPr>
                <w:p w14:paraId="10B5E56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类</w:t>
                  </w:r>
                </w:p>
              </w:tc>
              <w:tc>
                <w:tcPr>
                  <w:tcW w:w="785" w:type="pct"/>
                  <w:tcBorders>
                    <w:tl2br w:val="nil"/>
                    <w:tr2bl w:val="nil"/>
                  </w:tcBorders>
                  <w:vAlign w:val="center"/>
                </w:tcPr>
                <w:p w14:paraId="63F79E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6</w:t>
                  </w:r>
                  <w:r>
                    <w:rPr>
                      <w:rFonts w:hint="eastAsia" w:cs="Times New Roman"/>
                      <w:color w:val="auto"/>
                      <w:sz w:val="21"/>
                      <w:szCs w:val="21"/>
                      <w:lang w:val="en-US" w:eastAsia="zh-CN"/>
                    </w:rPr>
                    <w:t>0</w:t>
                  </w:r>
                </w:p>
              </w:tc>
              <w:tc>
                <w:tcPr>
                  <w:tcW w:w="813" w:type="pct"/>
                  <w:tcBorders>
                    <w:tl2br w:val="nil"/>
                    <w:tr2bl w:val="nil"/>
                  </w:tcBorders>
                  <w:vAlign w:val="center"/>
                </w:tcPr>
                <w:p w14:paraId="779BA2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5</w:t>
                  </w:r>
                  <w:r>
                    <w:rPr>
                      <w:rFonts w:hint="eastAsia" w:cs="Times New Roman"/>
                      <w:color w:val="auto"/>
                      <w:sz w:val="21"/>
                      <w:szCs w:val="21"/>
                      <w:lang w:val="en-US" w:eastAsia="zh-CN"/>
                    </w:rPr>
                    <w:t>0</w:t>
                  </w:r>
                </w:p>
              </w:tc>
            </w:tr>
            <w:bookmarkEnd w:id="37"/>
          </w:tbl>
          <w:p w14:paraId="3004974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eastAsia="宋体"/>
                <w:b/>
                <w:bCs/>
                <w:color w:val="auto"/>
                <w:sz w:val="24"/>
                <w:szCs w:val="24"/>
                <w:highlight w:val="none"/>
              </w:rPr>
            </w:pPr>
            <w:r>
              <w:rPr>
                <w:rFonts w:ascii="Times New Roman" w:hAnsi="Times New Roman" w:eastAsia="宋体"/>
                <w:b/>
                <w:bCs/>
                <w:color w:val="auto"/>
                <w:sz w:val="24"/>
                <w:szCs w:val="24"/>
                <w:highlight w:val="none"/>
              </w:rPr>
              <w:t>（4）固体废物</w:t>
            </w:r>
          </w:p>
          <w:p w14:paraId="683DA79E">
            <w:pPr>
              <w:bidi w:val="0"/>
              <w:rPr>
                <w:rFonts w:ascii="Times New Roman" w:hAnsi="Times New Roman" w:eastAsia="宋体" w:cs="宋体"/>
                <w:color w:val="auto"/>
                <w:kern w:val="0"/>
                <w:szCs w:val="21"/>
                <w:highlight w:val="none"/>
              </w:rPr>
            </w:pPr>
            <w:r>
              <w:rPr>
                <w:rFonts w:hint="eastAsia"/>
                <w:color w:val="auto"/>
                <w:sz w:val="24"/>
                <w:lang w:val="en-US" w:eastAsia="zh-CN"/>
              </w:rPr>
              <w:t>本</w:t>
            </w:r>
            <w:r>
              <w:rPr>
                <w:color w:val="auto"/>
                <w:sz w:val="24"/>
              </w:rPr>
              <w:t>项目运营期产生的固体废物</w:t>
            </w:r>
            <w:r>
              <w:rPr>
                <w:rFonts w:hint="eastAsia"/>
                <w:color w:val="auto"/>
                <w:sz w:val="24"/>
                <w:lang w:eastAsia="zh-CN"/>
              </w:rPr>
              <w:t>参照执行《一般工业固体废物贮存和填埋污染控制标准》（GB 18599-2020）、《危险废物贮存污染控制标准》（GB 18597-2023）等国家及地方法律法规及污染物控制标准。</w:t>
            </w:r>
          </w:p>
        </w:tc>
      </w:tr>
      <w:tr w14:paraId="0274C1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noWrap w:val="0"/>
            <w:vAlign w:val="center"/>
          </w:tcPr>
          <w:p w14:paraId="2D0216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宋体"/>
                <w:color w:val="auto"/>
                <w:kern w:val="0"/>
                <w:szCs w:val="21"/>
                <w:highlight w:val="none"/>
              </w:rPr>
            </w:pPr>
            <w:r>
              <w:rPr>
                <w:rFonts w:hint="eastAsia" w:ascii="Times New Roman" w:hAnsi="Times New Roman" w:eastAsia="宋体" w:cs="宋体"/>
                <w:color w:val="auto"/>
                <w:kern w:val="0"/>
                <w:szCs w:val="21"/>
                <w:highlight w:val="none"/>
              </w:rPr>
              <w:t>总量控制指标</w:t>
            </w:r>
          </w:p>
        </w:tc>
        <w:tc>
          <w:tcPr>
            <w:tcW w:w="9321" w:type="dxa"/>
            <w:noWrap w:val="0"/>
            <w:vAlign w:val="center"/>
          </w:tcPr>
          <w:p w14:paraId="5A2876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根据项目工程分析</w:t>
            </w:r>
            <w:r>
              <w:rPr>
                <w:rFonts w:hint="eastAsia" w:ascii="Times New Roman" w:hAnsi="Times New Roman" w:eastAsia="宋体" w:cs="Times New Roman"/>
                <w:color w:val="auto"/>
                <w:sz w:val="24"/>
                <w:szCs w:val="24"/>
                <w:lang w:eastAsia="zh-CN"/>
              </w:rPr>
              <w:t>及</w:t>
            </w:r>
            <w:r>
              <w:rPr>
                <w:rFonts w:hint="default" w:ascii="Times New Roman" w:hAnsi="Times New Roman" w:eastAsia="宋体" w:cs="Times New Roman"/>
                <w:color w:val="auto"/>
                <w:sz w:val="24"/>
                <w:szCs w:val="24"/>
              </w:rPr>
              <w:t>污染源</w:t>
            </w:r>
            <w:r>
              <w:rPr>
                <w:rFonts w:hint="eastAsia" w:ascii="Times New Roman" w:hAnsi="Times New Roman" w:eastAsia="宋体" w:cs="Times New Roman"/>
                <w:color w:val="auto"/>
                <w:sz w:val="24"/>
                <w:szCs w:val="24"/>
                <w:lang w:eastAsia="zh-CN"/>
              </w:rPr>
              <w:t>强</w:t>
            </w:r>
            <w:r>
              <w:rPr>
                <w:rFonts w:hint="default" w:ascii="Times New Roman" w:hAnsi="Times New Roman" w:eastAsia="宋体" w:cs="Times New Roman"/>
                <w:color w:val="auto"/>
                <w:sz w:val="24"/>
                <w:szCs w:val="24"/>
              </w:rPr>
              <w:t>核</w:t>
            </w:r>
            <w:r>
              <w:rPr>
                <w:rFonts w:hint="eastAsia" w:ascii="Times New Roman" w:hAnsi="Times New Roman" w:eastAsia="宋体" w:cs="Times New Roman"/>
                <w:color w:val="auto"/>
                <w:sz w:val="24"/>
                <w:szCs w:val="24"/>
                <w:lang w:eastAsia="zh-CN"/>
              </w:rPr>
              <w:t>算</w:t>
            </w:r>
            <w:r>
              <w:rPr>
                <w:rFonts w:hint="default" w:ascii="Times New Roman" w:hAnsi="Times New Roman" w:eastAsia="宋体" w:cs="Times New Roman"/>
                <w:color w:val="auto"/>
                <w:sz w:val="24"/>
                <w:szCs w:val="24"/>
              </w:rPr>
              <w:t>，本</w:t>
            </w:r>
            <w:r>
              <w:rPr>
                <w:rFonts w:hint="eastAsia" w:ascii="Times New Roman" w:hAnsi="Times New Roman" w:eastAsia="宋体" w:cs="Times New Roman"/>
                <w:color w:val="auto"/>
                <w:sz w:val="24"/>
                <w:szCs w:val="24"/>
                <w:lang w:eastAsia="zh-CN"/>
              </w:rPr>
              <w:t>项目建成后需要进行总量控制的指标为</w:t>
            </w:r>
            <w:r>
              <w:rPr>
                <w:rFonts w:hint="default" w:ascii="Times New Roman" w:hAnsi="Times New Roman" w:eastAsia="宋体" w:cs="Times New Roman"/>
                <w:color w:val="auto"/>
                <w:sz w:val="24"/>
                <w:szCs w:val="24"/>
                <w:highlight w:val="none"/>
                <w:lang w:val="en-US" w:eastAsia="zh-CN"/>
              </w:rPr>
              <w:t>COD、氨氮、VOCs</w:t>
            </w:r>
            <w:r>
              <w:rPr>
                <w:rFonts w:hint="eastAsia" w:ascii="Times New Roman" w:hAnsi="Times New Roman" w:eastAsia="宋体" w:cs="Times New Roman"/>
                <w:color w:val="auto"/>
                <w:sz w:val="24"/>
                <w:szCs w:val="24"/>
                <w:highlight w:val="none"/>
                <w:lang w:val="en-US" w:eastAsia="zh-CN"/>
              </w:rPr>
              <w:t>，其中：</w:t>
            </w:r>
          </w:p>
          <w:p w14:paraId="135DCD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
                <w:bCs/>
                <w:color w:val="auto"/>
                <w:kern w:val="0"/>
                <w:sz w:val="21"/>
                <w:szCs w:val="21"/>
                <w:lang w:val="en-GB" w:eastAsia="zh-CN"/>
              </w:rPr>
            </w:pPr>
            <w:r>
              <w:rPr>
                <w:rFonts w:hint="eastAsia" w:ascii="Times New Roman" w:hAnsi="Times New Roman" w:eastAsia="宋体" w:cs="宋体"/>
                <w:b/>
                <w:bCs/>
                <w:color w:val="auto"/>
                <w:kern w:val="0"/>
                <w:sz w:val="21"/>
                <w:szCs w:val="21"/>
                <w:lang w:val="en-GB" w:eastAsia="zh-CN"/>
              </w:rPr>
              <w:t>表3-</w:t>
            </w:r>
            <w:r>
              <w:rPr>
                <w:rFonts w:hint="eastAsia" w:cs="宋体"/>
                <w:b/>
                <w:bCs/>
                <w:color w:val="auto"/>
                <w:kern w:val="0"/>
                <w:sz w:val="21"/>
                <w:szCs w:val="21"/>
                <w:lang w:val="en-US" w:eastAsia="zh-CN"/>
              </w:rPr>
              <w:t>8</w:t>
            </w:r>
            <w:r>
              <w:rPr>
                <w:rFonts w:hint="eastAsia" w:ascii="Times New Roman" w:hAnsi="Times New Roman" w:eastAsia="宋体" w:cs="宋体"/>
                <w:b/>
                <w:bCs/>
                <w:color w:val="auto"/>
                <w:kern w:val="0"/>
                <w:sz w:val="21"/>
                <w:szCs w:val="21"/>
                <w:lang w:val="en-US" w:eastAsia="zh-CN"/>
              </w:rPr>
              <w:t xml:space="preserve"> </w:t>
            </w:r>
            <w:r>
              <w:rPr>
                <w:rFonts w:hint="eastAsia" w:ascii="Times New Roman" w:hAnsi="Times New Roman" w:eastAsia="宋体" w:cs="宋体"/>
                <w:b/>
                <w:bCs/>
                <w:color w:val="auto"/>
                <w:kern w:val="0"/>
                <w:sz w:val="21"/>
                <w:szCs w:val="21"/>
                <w:lang w:val="en-GB" w:eastAsia="zh-CN"/>
              </w:rPr>
              <w:t>总量建议指标表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785"/>
              <w:gridCol w:w="1485"/>
              <w:gridCol w:w="2554"/>
              <w:gridCol w:w="2958"/>
            </w:tblGrid>
            <w:tr w14:paraId="4F1243B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1785" w:type="dxa"/>
                  <w:tcBorders>
                    <w:tl2br w:val="nil"/>
                    <w:tr2bl w:val="nil"/>
                  </w:tcBorders>
                  <w:noWrap w:val="0"/>
                  <w:vAlign w:val="center"/>
                </w:tcPr>
                <w:p w14:paraId="176666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类别</w:t>
                  </w:r>
                </w:p>
              </w:tc>
              <w:tc>
                <w:tcPr>
                  <w:tcW w:w="1485" w:type="dxa"/>
                  <w:tcBorders>
                    <w:tl2br w:val="nil"/>
                    <w:tr2bl w:val="nil"/>
                  </w:tcBorders>
                  <w:noWrap w:val="0"/>
                  <w:vAlign w:val="center"/>
                </w:tcPr>
                <w:p w14:paraId="0CEDC2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污染物</w:t>
                  </w:r>
                </w:p>
              </w:tc>
              <w:tc>
                <w:tcPr>
                  <w:tcW w:w="2554" w:type="dxa"/>
                  <w:tcBorders>
                    <w:tl2br w:val="nil"/>
                    <w:tr2bl w:val="nil"/>
                  </w:tcBorders>
                  <w:noWrap w:val="0"/>
                  <w:vAlign w:val="center"/>
                </w:tcPr>
                <w:p w14:paraId="50BCB0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排放量（t/a）</w:t>
                  </w:r>
                </w:p>
              </w:tc>
              <w:tc>
                <w:tcPr>
                  <w:tcW w:w="2958" w:type="dxa"/>
                  <w:tcBorders>
                    <w:tl2br w:val="nil"/>
                    <w:tr2bl w:val="nil"/>
                  </w:tcBorders>
                  <w:noWrap w:val="0"/>
                  <w:vAlign w:val="center"/>
                </w:tcPr>
                <w:p w14:paraId="51FB68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建议指标（t/a）</w:t>
                  </w:r>
                </w:p>
              </w:tc>
            </w:tr>
            <w:tr w14:paraId="7211692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1785" w:type="dxa"/>
                  <w:tcBorders>
                    <w:tl2br w:val="nil"/>
                    <w:tr2bl w:val="nil"/>
                  </w:tcBorders>
                  <w:noWrap w:val="0"/>
                  <w:vAlign w:val="center"/>
                </w:tcPr>
                <w:p w14:paraId="6290CC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废气</w:t>
                  </w:r>
                </w:p>
              </w:tc>
              <w:tc>
                <w:tcPr>
                  <w:tcW w:w="1485" w:type="dxa"/>
                  <w:tcBorders>
                    <w:tl2br w:val="nil"/>
                    <w:tr2bl w:val="nil"/>
                  </w:tcBorders>
                  <w:noWrap w:val="0"/>
                  <w:vAlign w:val="center"/>
                </w:tcPr>
                <w:p w14:paraId="16E719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GB" w:eastAsia="zh-CN"/>
                    </w:rPr>
                    <w:t>VOC</w:t>
                  </w:r>
                  <w:r>
                    <w:rPr>
                      <w:rFonts w:hint="eastAsia" w:ascii="Times New Roman" w:hAnsi="Times New Roman" w:eastAsia="宋体" w:cs="Times New Roman"/>
                      <w:color w:val="auto"/>
                      <w:sz w:val="21"/>
                      <w:szCs w:val="21"/>
                      <w:vertAlign w:val="subscript"/>
                      <w:lang w:val="en-US" w:eastAsia="zh-CN"/>
                    </w:rPr>
                    <w:t>S</w:t>
                  </w:r>
                </w:p>
              </w:tc>
              <w:tc>
                <w:tcPr>
                  <w:tcW w:w="2554" w:type="dxa"/>
                  <w:tcBorders>
                    <w:tl2br w:val="nil"/>
                    <w:tr2bl w:val="nil"/>
                  </w:tcBorders>
                  <w:noWrap w:val="0"/>
                  <w:vAlign w:val="center"/>
                </w:tcPr>
                <w:p w14:paraId="2EA700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0.106</w:t>
                  </w:r>
                </w:p>
              </w:tc>
              <w:tc>
                <w:tcPr>
                  <w:tcW w:w="2958" w:type="dxa"/>
                  <w:tcBorders>
                    <w:tl2br w:val="nil"/>
                    <w:tr2bl w:val="nil"/>
                  </w:tcBorders>
                  <w:noWrap w:val="0"/>
                  <w:vAlign w:val="center"/>
                </w:tcPr>
                <w:p w14:paraId="790A50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0.106</w:t>
                  </w:r>
                </w:p>
              </w:tc>
            </w:tr>
            <w:tr w14:paraId="5F7DFBF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1785" w:type="dxa"/>
                  <w:vMerge w:val="restart"/>
                  <w:tcBorders>
                    <w:tl2br w:val="nil"/>
                    <w:tr2bl w:val="nil"/>
                  </w:tcBorders>
                  <w:noWrap w:val="0"/>
                  <w:vAlign w:val="center"/>
                </w:tcPr>
                <w:p w14:paraId="760E4F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废水</w:t>
                  </w:r>
                </w:p>
              </w:tc>
              <w:tc>
                <w:tcPr>
                  <w:tcW w:w="1485" w:type="dxa"/>
                  <w:tcBorders>
                    <w:tl2br w:val="nil"/>
                    <w:tr2bl w:val="nil"/>
                  </w:tcBorders>
                  <w:noWrap w:val="0"/>
                  <w:vAlign w:val="center"/>
                </w:tcPr>
                <w:p w14:paraId="63E8F9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FF0000"/>
                      <w:sz w:val="21"/>
                      <w:szCs w:val="21"/>
                      <w:highlight w:val="none"/>
                      <w:lang w:val="en-GB" w:eastAsia="zh-CN"/>
                    </w:rPr>
                  </w:pPr>
                  <w:r>
                    <w:rPr>
                      <w:rFonts w:hint="eastAsia" w:ascii="Times New Roman" w:hAnsi="Times New Roman" w:eastAsia="宋体" w:cs="Times New Roman"/>
                      <w:color w:val="FF0000"/>
                      <w:sz w:val="21"/>
                      <w:szCs w:val="21"/>
                      <w:highlight w:val="none"/>
                      <w:lang w:val="en-GB" w:eastAsia="zh-CN"/>
                    </w:rPr>
                    <w:t>COD</w:t>
                  </w:r>
                </w:p>
              </w:tc>
              <w:tc>
                <w:tcPr>
                  <w:tcW w:w="2554" w:type="dxa"/>
                  <w:tcBorders>
                    <w:tl2br w:val="nil"/>
                    <w:tr2bl w:val="nil"/>
                  </w:tcBorders>
                  <w:noWrap w:val="0"/>
                  <w:vAlign w:val="center"/>
                </w:tcPr>
                <w:p w14:paraId="1BC8EC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0.</w:t>
                  </w:r>
                  <w:r>
                    <w:rPr>
                      <w:rFonts w:hint="eastAsia" w:cs="Times New Roman"/>
                      <w:color w:val="FF0000"/>
                      <w:sz w:val="21"/>
                      <w:szCs w:val="21"/>
                      <w:highlight w:val="none"/>
                      <w:lang w:val="en-US" w:eastAsia="zh-CN"/>
                    </w:rPr>
                    <w:t>115</w:t>
                  </w:r>
                </w:p>
              </w:tc>
              <w:tc>
                <w:tcPr>
                  <w:tcW w:w="2958" w:type="dxa"/>
                  <w:tcBorders>
                    <w:tl2br w:val="nil"/>
                    <w:tr2bl w:val="nil"/>
                  </w:tcBorders>
                  <w:noWrap w:val="0"/>
                  <w:vAlign w:val="center"/>
                </w:tcPr>
                <w:p w14:paraId="4F460B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0.</w:t>
                  </w:r>
                  <w:r>
                    <w:rPr>
                      <w:rFonts w:hint="eastAsia" w:cs="Times New Roman"/>
                      <w:color w:val="FF0000"/>
                      <w:sz w:val="21"/>
                      <w:szCs w:val="21"/>
                      <w:highlight w:val="none"/>
                      <w:lang w:val="en-US" w:eastAsia="zh-CN"/>
                    </w:rPr>
                    <w:t>115</w:t>
                  </w:r>
                </w:p>
              </w:tc>
            </w:tr>
            <w:tr w14:paraId="65217B9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1785" w:type="dxa"/>
                  <w:vMerge w:val="continue"/>
                  <w:tcBorders>
                    <w:tl2br w:val="nil"/>
                    <w:tr2bl w:val="nil"/>
                  </w:tcBorders>
                  <w:noWrap w:val="0"/>
                  <w:vAlign w:val="center"/>
                </w:tcPr>
                <w:p w14:paraId="4DB010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p>
              </w:tc>
              <w:tc>
                <w:tcPr>
                  <w:tcW w:w="1485" w:type="dxa"/>
                  <w:tcBorders>
                    <w:tl2br w:val="nil"/>
                    <w:tr2bl w:val="nil"/>
                  </w:tcBorders>
                  <w:noWrap w:val="0"/>
                  <w:vAlign w:val="center"/>
                </w:tcPr>
                <w:p w14:paraId="43EA02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FF0000"/>
                      <w:sz w:val="21"/>
                      <w:szCs w:val="21"/>
                      <w:highlight w:val="none"/>
                      <w:lang w:val="en-GB" w:eastAsia="zh-CN"/>
                    </w:rPr>
                  </w:pPr>
                  <w:r>
                    <w:rPr>
                      <w:rFonts w:hint="eastAsia" w:ascii="Times New Roman" w:hAnsi="Times New Roman" w:eastAsia="宋体" w:cs="Times New Roman"/>
                      <w:color w:val="FF0000"/>
                      <w:sz w:val="21"/>
                      <w:szCs w:val="21"/>
                      <w:highlight w:val="none"/>
                      <w:lang w:val="en-GB" w:eastAsia="zh-CN"/>
                    </w:rPr>
                    <w:t>氨氮</w:t>
                  </w:r>
                </w:p>
              </w:tc>
              <w:tc>
                <w:tcPr>
                  <w:tcW w:w="2554" w:type="dxa"/>
                  <w:tcBorders>
                    <w:tl2br w:val="nil"/>
                    <w:tr2bl w:val="nil"/>
                  </w:tcBorders>
                  <w:noWrap w:val="0"/>
                  <w:vAlign w:val="center"/>
                </w:tcPr>
                <w:p w14:paraId="2566D6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0.00</w:t>
                  </w:r>
                  <w:r>
                    <w:rPr>
                      <w:rFonts w:hint="eastAsia" w:cs="Times New Roman"/>
                      <w:color w:val="FF0000"/>
                      <w:sz w:val="21"/>
                      <w:szCs w:val="21"/>
                      <w:highlight w:val="none"/>
                      <w:lang w:val="en-US" w:eastAsia="zh-CN"/>
                    </w:rPr>
                    <w:t>6</w:t>
                  </w:r>
                </w:p>
              </w:tc>
              <w:tc>
                <w:tcPr>
                  <w:tcW w:w="2958" w:type="dxa"/>
                  <w:tcBorders>
                    <w:tl2br w:val="nil"/>
                    <w:tr2bl w:val="nil"/>
                  </w:tcBorders>
                  <w:noWrap w:val="0"/>
                  <w:vAlign w:val="center"/>
                </w:tcPr>
                <w:p w14:paraId="67B0B8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0.00</w:t>
                  </w:r>
                  <w:r>
                    <w:rPr>
                      <w:rFonts w:hint="eastAsia" w:cs="Times New Roman"/>
                      <w:color w:val="FF0000"/>
                      <w:sz w:val="21"/>
                      <w:szCs w:val="21"/>
                      <w:highlight w:val="none"/>
                      <w:lang w:val="en-US" w:eastAsia="zh-CN"/>
                    </w:rPr>
                    <w:t>6</w:t>
                  </w:r>
                </w:p>
              </w:tc>
            </w:tr>
          </w:tbl>
          <w:p w14:paraId="51EB7F27">
            <w:pPr>
              <w:rPr>
                <w:rFonts w:hint="eastAsia" w:eastAsia="宋体"/>
                <w:color w:val="FF0000"/>
                <w:lang w:val="en-US" w:eastAsia="zh-CN"/>
              </w:rPr>
            </w:pPr>
            <w:r>
              <w:rPr>
                <w:rFonts w:hint="eastAsia"/>
                <w:color w:val="FF0000"/>
              </w:rPr>
              <w:t>具体的总量指标最终以当地环保部门核定的总量为准</w:t>
            </w:r>
            <w:r>
              <w:rPr>
                <w:rFonts w:hint="eastAsia"/>
                <w:color w:val="FF0000"/>
                <w:lang w:val="en-US" w:eastAsia="zh-CN"/>
              </w:rPr>
              <w:t>。</w:t>
            </w:r>
          </w:p>
          <w:p w14:paraId="368031A8">
            <w:pPr>
              <w:pStyle w:val="2"/>
            </w:pPr>
          </w:p>
          <w:p w14:paraId="4E1BFA12">
            <w:pPr>
              <w:pStyle w:val="4"/>
            </w:pPr>
          </w:p>
          <w:p w14:paraId="5305EA29"/>
          <w:p w14:paraId="57516820">
            <w:pPr>
              <w:pStyle w:val="2"/>
            </w:pPr>
          </w:p>
          <w:p w14:paraId="1DC09172">
            <w:pPr>
              <w:pStyle w:val="4"/>
            </w:pPr>
          </w:p>
          <w:p w14:paraId="5299CC6F"/>
          <w:p w14:paraId="0CF5DC77">
            <w:pPr>
              <w:pStyle w:val="2"/>
            </w:pPr>
          </w:p>
          <w:p w14:paraId="773C8B2C">
            <w:pPr>
              <w:pStyle w:val="4"/>
            </w:pPr>
          </w:p>
          <w:p w14:paraId="2F3B33F3"/>
          <w:p w14:paraId="4DFE7D7B">
            <w:pPr>
              <w:ind w:left="0" w:leftChars="0" w:firstLine="0" w:firstLineChars="0"/>
              <w:rPr>
                <w:rFonts w:hint="eastAsia"/>
                <w:color w:val="auto"/>
                <w:lang w:eastAsia="zh-CN"/>
              </w:rPr>
            </w:pPr>
          </w:p>
          <w:p w14:paraId="7DD58B9E">
            <w:pPr>
              <w:pStyle w:val="2"/>
              <w:rPr>
                <w:rFonts w:hint="eastAsia"/>
                <w:color w:val="auto"/>
                <w:lang w:eastAsia="zh-CN"/>
              </w:rPr>
            </w:pPr>
          </w:p>
          <w:p w14:paraId="1E2972A0">
            <w:pPr>
              <w:pStyle w:val="4"/>
              <w:rPr>
                <w:rFonts w:hint="eastAsia"/>
                <w:color w:val="auto"/>
                <w:lang w:eastAsia="zh-CN"/>
              </w:rPr>
            </w:pPr>
          </w:p>
          <w:p w14:paraId="4700E888">
            <w:pPr>
              <w:rPr>
                <w:rFonts w:hint="eastAsia"/>
                <w:color w:val="auto"/>
                <w:lang w:eastAsia="zh-CN"/>
              </w:rPr>
            </w:pPr>
          </w:p>
          <w:p w14:paraId="640D2245">
            <w:pPr>
              <w:pStyle w:val="4"/>
              <w:ind w:left="0" w:leftChars="0" w:firstLine="0" w:firstLineChars="0"/>
              <w:rPr>
                <w:rFonts w:hint="eastAsia"/>
                <w:lang w:eastAsia="zh-CN"/>
              </w:rPr>
            </w:pPr>
          </w:p>
        </w:tc>
      </w:tr>
    </w:tbl>
    <w:p w14:paraId="0690559E">
      <w:pPr>
        <w:numPr>
          <w:ilvl w:val="0"/>
          <w:numId w:val="3"/>
        </w:numPr>
        <w:bidi w:val="0"/>
        <w:jc w:val="center"/>
        <w:rPr>
          <w:rStyle w:val="67"/>
          <w:rFonts w:hint="eastAsia"/>
          <w:color w:val="auto"/>
          <w:lang w:val="en-US" w:eastAsia="zh-CN"/>
        </w:rPr>
        <w:sectPr>
          <w:pgSz w:w="11907" w:h="16840"/>
          <w:pgMar w:top="1304" w:right="1304" w:bottom="1304" w:left="1304" w:header="794" w:footer="737" w:gutter="0"/>
          <w:pgBorders>
            <w:top w:val="none" w:sz="0" w:space="0"/>
            <w:left w:val="none" w:sz="0" w:space="0"/>
            <w:bottom w:val="none" w:sz="0" w:space="0"/>
            <w:right w:val="none" w:sz="0" w:space="0"/>
          </w:pgBorders>
          <w:pgNumType w:fmt="decimal"/>
          <w:cols w:space="720" w:num="1"/>
          <w:docGrid w:linePitch="312" w:charSpace="0"/>
        </w:sectPr>
      </w:pPr>
    </w:p>
    <w:p w14:paraId="7049A65E">
      <w:pPr>
        <w:pStyle w:val="5"/>
        <w:bidi w:val="0"/>
        <w:jc w:val="center"/>
        <w:rPr>
          <w:rFonts w:hint="default" w:ascii="Times New Roman" w:hAnsi="Times New Roman" w:eastAsia="宋体" w:cs="Times New Roman"/>
          <w:color w:val="auto"/>
          <w:highlight w:val="none"/>
        </w:rPr>
      </w:pPr>
      <w:r>
        <w:rPr>
          <w:rFonts w:hint="eastAsia" w:cs="Times New Roman"/>
          <w:color w:val="auto"/>
          <w:highlight w:val="none"/>
          <w:lang w:eastAsia="zh-CN"/>
        </w:rPr>
        <w:t>四</w:t>
      </w:r>
      <w:r>
        <w:rPr>
          <w:rFonts w:hint="default" w:ascii="Times New Roman" w:hAnsi="Times New Roman" w:eastAsia="宋体" w:cs="Times New Roman"/>
          <w:color w:val="auto"/>
          <w:highlight w:val="none"/>
        </w:rPr>
        <w:t>、</w:t>
      </w:r>
      <w:r>
        <w:rPr>
          <w:rFonts w:hint="eastAsia" w:cs="Times New Roman"/>
          <w:color w:val="auto"/>
          <w:highlight w:val="none"/>
          <w:lang w:eastAsia="zh-CN"/>
        </w:rPr>
        <w:t>主要环境影响和保护措施</w:t>
      </w:r>
    </w:p>
    <w:tbl>
      <w:tblPr>
        <w:tblStyle w:val="25"/>
        <w:tblW w:w="534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94"/>
        <w:gridCol w:w="9286"/>
      </w:tblGrid>
      <w:tr w14:paraId="564262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3" w:type="pct"/>
            <w:noWrap w:val="0"/>
            <w:tcMar>
              <w:left w:w="28" w:type="dxa"/>
              <w:right w:w="28" w:type="dxa"/>
            </w:tcMar>
            <w:vAlign w:val="center"/>
          </w:tcPr>
          <w:p w14:paraId="233D7D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olor w:val="auto"/>
                <w:highlight w:val="none"/>
              </w:rPr>
            </w:pPr>
            <w:r>
              <w:rPr>
                <w:rFonts w:hint="eastAsia" w:ascii="Times New Roman" w:hAnsi="Times New Roman" w:eastAsia="宋体"/>
                <w:color w:val="auto"/>
                <w:highlight w:val="none"/>
                <w:lang w:eastAsia="zh-CN"/>
              </w:rPr>
              <w:t>施工</w:t>
            </w:r>
            <w:r>
              <w:rPr>
                <w:rFonts w:hint="eastAsia" w:ascii="Times New Roman" w:hAnsi="Times New Roman" w:eastAsia="宋体"/>
                <w:color w:val="auto"/>
                <w:highlight w:val="none"/>
              </w:rPr>
              <w:t>期环境影响和保护措施</w:t>
            </w:r>
          </w:p>
        </w:tc>
        <w:tc>
          <w:tcPr>
            <w:tcW w:w="4606" w:type="pct"/>
            <w:noWrap w:val="0"/>
            <w:vAlign w:val="center"/>
          </w:tcPr>
          <w:p w14:paraId="298C2A9B">
            <w:pPr>
              <w:spacing w:line="360" w:lineRule="auto"/>
              <w:ind w:firstLine="480" w:firstLineChars="200"/>
              <w:rPr>
                <w:rFonts w:hint="eastAsia"/>
                <w:color w:val="auto"/>
                <w:kern w:val="0"/>
                <w:sz w:val="24"/>
              </w:rPr>
            </w:pPr>
            <w:r>
              <w:rPr>
                <w:rFonts w:hint="eastAsia"/>
                <w:color w:val="auto"/>
                <w:kern w:val="0"/>
                <w:sz w:val="24"/>
              </w:rPr>
              <w:t>施工期产污主要为设备噪声、废包装材料及施工人员产生的生活污水、生活垃圾。</w:t>
            </w:r>
          </w:p>
          <w:p w14:paraId="0CB5E783">
            <w:pPr>
              <w:ind w:firstLine="482"/>
              <w:rPr>
                <w:rFonts w:hint="eastAsia" w:ascii="Times New Roman" w:hAnsi="Times New Roman" w:eastAsia="宋体" w:cs="Times New Roman"/>
                <w:b/>
                <w:bCs/>
                <w:color w:val="auto"/>
                <w:kern w:val="0"/>
                <w:highlight w:val="none"/>
              </w:rPr>
            </w:pPr>
            <w:r>
              <w:rPr>
                <w:rFonts w:hint="eastAsia" w:ascii="Times New Roman" w:hAnsi="Times New Roman" w:eastAsia="宋体" w:cs="Times New Roman"/>
                <w:b/>
                <w:bCs/>
                <w:color w:val="auto"/>
                <w:kern w:val="0"/>
                <w:highlight w:val="none"/>
              </w:rPr>
              <w:t>4.</w:t>
            </w:r>
            <w:r>
              <w:rPr>
                <w:rFonts w:hint="eastAsia" w:cs="Times New Roman"/>
                <w:b/>
                <w:bCs/>
                <w:color w:val="auto"/>
                <w:kern w:val="0"/>
                <w:highlight w:val="none"/>
                <w:lang w:val="en-US" w:eastAsia="zh-CN"/>
              </w:rPr>
              <w:t>1</w:t>
            </w:r>
            <w:r>
              <w:rPr>
                <w:rFonts w:hint="eastAsia" w:ascii="Times New Roman" w:hAnsi="Times New Roman" w:eastAsia="宋体" w:cs="Times New Roman"/>
                <w:b/>
                <w:bCs/>
                <w:color w:val="auto"/>
                <w:kern w:val="0"/>
                <w:highlight w:val="none"/>
                <w:lang w:eastAsia="zh-CN"/>
              </w:rPr>
              <w:t>施工</w:t>
            </w:r>
            <w:r>
              <w:rPr>
                <w:rFonts w:hint="eastAsia" w:ascii="Times New Roman" w:hAnsi="Times New Roman" w:eastAsia="宋体" w:cs="Times New Roman"/>
                <w:b/>
                <w:bCs/>
                <w:color w:val="auto"/>
                <w:kern w:val="0"/>
                <w:highlight w:val="none"/>
              </w:rPr>
              <w:t>期废</w:t>
            </w:r>
            <w:r>
              <w:rPr>
                <w:rFonts w:hint="eastAsia" w:ascii="Times New Roman" w:hAnsi="Times New Roman" w:eastAsia="宋体" w:cs="Times New Roman"/>
                <w:b/>
                <w:bCs/>
                <w:color w:val="auto"/>
                <w:kern w:val="0"/>
                <w:highlight w:val="none"/>
                <w:lang w:eastAsia="zh-CN"/>
              </w:rPr>
              <w:t>水</w:t>
            </w:r>
            <w:r>
              <w:rPr>
                <w:rFonts w:hint="eastAsia" w:ascii="Times New Roman" w:hAnsi="Times New Roman" w:eastAsia="宋体" w:cs="Times New Roman"/>
                <w:b/>
                <w:bCs/>
                <w:color w:val="auto"/>
                <w:kern w:val="0"/>
                <w:highlight w:val="none"/>
              </w:rPr>
              <w:t>环境影响和保护措施</w:t>
            </w:r>
          </w:p>
          <w:p w14:paraId="64CEB2EF">
            <w:pPr>
              <w:spacing w:line="360" w:lineRule="auto"/>
              <w:ind w:firstLine="482"/>
              <w:rPr>
                <w:rFonts w:hint="eastAsia"/>
                <w:color w:val="auto"/>
                <w:kern w:val="0"/>
                <w:sz w:val="24"/>
              </w:rPr>
            </w:pPr>
            <w:r>
              <w:rPr>
                <w:rFonts w:hint="eastAsia"/>
                <w:color w:val="auto"/>
                <w:kern w:val="0"/>
                <w:sz w:val="24"/>
              </w:rPr>
              <w:t>施工期废水主要为施工人员生活污水。</w:t>
            </w:r>
          </w:p>
          <w:p w14:paraId="6FE036EC">
            <w:pPr>
              <w:spacing w:line="360" w:lineRule="auto"/>
              <w:ind w:firstLine="482"/>
              <w:rPr>
                <w:rFonts w:hint="eastAsia"/>
                <w:color w:val="auto"/>
                <w:kern w:val="0"/>
                <w:sz w:val="24"/>
              </w:rPr>
            </w:pPr>
            <w:r>
              <w:rPr>
                <w:rFonts w:hint="eastAsia"/>
                <w:color w:val="auto"/>
                <w:kern w:val="0"/>
                <w:sz w:val="24"/>
              </w:rPr>
              <w:t>生活污水主要污染物为pH值、COD、BOD</w:t>
            </w:r>
            <w:r>
              <w:rPr>
                <w:rFonts w:hint="eastAsia"/>
                <w:color w:val="auto"/>
                <w:kern w:val="0"/>
                <w:sz w:val="24"/>
                <w:vertAlign w:val="subscript"/>
              </w:rPr>
              <w:t>5</w:t>
            </w:r>
            <w:r>
              <w:rPr>
                <w:rFonts w:hint="eastAsia"/>
                <w:color w:val="auto"/>
                <w:kern w:val="0"/>
                <w:sz w:val="24"/>
              </w:rPr>
              <w:t>、SS、NH</w:t>
            </w:r>
            <w:r>
              <w:rPr>
                <w:rFonts w:hint="eastAsia"/>
                <w:color w:val="auto"/>
                <w:kern w:val="0"/>
                <w:sz w:val="24"/>
                <w:vertAlign w:val="subscript"/>
              </w:rPr>
              <w:t>3</w:t>
            </w:r>
            <w:r>
              <w:rPr>
                <w:rFonts w:hint="eastAsia"/>
                <w:color w:val="auto"/>
                <w:kern w:val="0"/>
                <w:sz w:val="24"/>
              </w:rPr>
              <w:t>-N等，项目施工期</w:t>
            </w:r>
            <w:r>
              <w:rPr>
                <w:rFonts w:hint="eastAsia"/>
                <w:color w:val="auto"/>
                <w:kern w:val="0"/>
                <w:sz w:val="24"/>
                <w:lang w:eastAsia="zh-CN"/>
              </w:rPr>
              <w:t>依托厂区现有公共卫生设施处理后排入现有化粪池，经市政污水管网排放，</w:t>
            </w:r>
            <w:r>
              <w:rPr>
                <w:rFonts w:hint="eastAsia"/>
                <w:color w:val="auto"/>
                <w:kern w:val="0"/>
                <w:sz w:val="24"/>
              </w:rPr>
              <w:t>对周围地表水环境影响较小。</w:t>
            </w:r>
          </w:p>
          <w:p w14:paraId="447EDF7E">
            <w:pPr>
              <w:ind w:firstLine="482"/>
              <w:rPr>
                <w:rFonts w:hint="eastAsia" w:ascii="Times New Roman" w:hAnsi="Times New Roman" w:eastAsia="宋体" w:cs="Times New Roman"/>
                <w:b/>
                <w:bCs/>
                <w:color w:val="auto"/>
                <w:kern w:val="0"/>
                <w:highlight w:val="none"/>
              </w:rPr>
            </w:pPr>
            <w:r>
              <w:rPr>
                <w:rFonts w:hint="eastAsia" w:ascii="Times New Roman" w:hAnsi="Times New Roman" w:eastAsia="宋体" w:cs="Times New Roman"/>
                <w:b/>
                <w:bCs/>
                <w:color w:val="auto"/>
                <w:kern w:val="0"/>
                <w:highlight w:val="none"/>
              </w:rPr>
              <w:t>4.</w:t>
            </w:r>
            <w:r>
              <w:rPr>
                <w:rFonts w:hint="eastAsia" w:cs="Times New Roman"/>
                <w:b/>
                <w:bCs/>
                <w:color w:val="auto"/>
                <w:kern w:val="0"/>
                <w:highlight w:val="none"/>
                <w:lang w:val="en-US" w:eastAsia="zh-CN"/>
              </w:rPr>
              <w:t>2</w:t>
            </w:r>
            <w:r>
              <w:rPr>
                <w:rFonts w:hint="eastAsia" w:ascii="Times New Roman" w:hAnsi="Times New Roman" w:eastAsia="宋体" w:cs="Times New Roman"/>
                <w:b/>
                <w:bCs/>
                <w:color w:val="auto"/>
                <w:kern w:val="0"/>
                <w:highlight w:val="none"/>
                <w:lang w:eastAsia="zh-CN"/>
              </w:rPr>
              <w:t>施工</w:t>
            </w:r>
            <w:r>
              <w:rPr>
                <w:rFonts w:hint="eastAsia" w:ascii="Times New Roman" w:hAnsi="Times New Roman" w:eastAsia="宋体" w:cs="Times New Roman"/>
                <w:b/>
                <w:bCs/>
                <w:color w:val="auto"/>
                <w:kern w:val="0"/>
                <w:highlight w:val="none"/>
              </w:rPr>
              <w:t>期</w:t>
            </w:r>
            <w:r>
              <w:rPr>
                <w:rFonts w:hint="eastAsia" w:ascii="Times New Roman" w:hAnsi="Times New Roman" w:eastAsia="宋体" w:cs="Times New Roman"/>
                <w:b/>
                <w:bCs/>
                <w:color w:val="auto"/>
                <w:kern w:val="0"/>
                <w:highlight w:val="none"/>
                <w:lang w:eastAsia="zh-CN"/>
              </w:rPr>
              <w:t>噪声</w:t>
            </w:r>
            <w:r>
              <w:rPr>
                <w:rFonts w:hint="eastAsia" w:ascii="Times New Roman" w:hAnsi="Times New Roman" w:eastAsia="宋体" w:cs="Times New Roman"/>
                <w:b/>
                <w:bCs/>
                <w:color w:val="auto"/>
                <w:kern w:val="0"/>
                <w:highlight w:val="none"/>
              </w:rPr>
              <w:t>环境影响和保护措施</w:t>
            </w:r>
          </w:p>
          <w:p w14:paraId="279D18CF">
            <w:pPr>
              <w:spacing w:line="360" w:lineRule="auto"/>
              <w:ind w:firstLine="482"/>
              <w:rPr>
                <w:rFonts w:hint="eastAsia"/>
                <w:color w:val="auto"/>
                <w:kern w:val="0"/>
                <w:sz w:val="24"/>
              </w:rPr>
            </w:pPr>
            <w:r>
              <w:rPr>
                <w:rFonts w:hint="eastAsia"/>
                <w:color w:val="auto"/>
                <w:kern w:val="0"/>
                <w:sz w:val="24"/>
              </w:rPr>
              <w:t>为减少施工噪声对周围环境的影响，建议施工单位采取以下措施：</w:t>
            </w:r>
          </w:p>
          <w:p w14:paraId="7B6CF0A1">
            <w:pPr>
              <w:spacing w:line="360" w:lineRule="auto"/>
              <w:ind w:firstLine="482"/>
              <w:rPr>
                <w:rFonts w:hint="eastAsia"/>
                <w:color w:val="auto"/>
                <w:kern w:val="0"/>
                <w:sz w:val="24"/>
              </w:rPr>
            </w:pPr>
            <w:r>
              <w:rPr>
                <w:rFonts w:hint="eastAsia"/>
                <w:color w:val="auto"/>
                <w:kern w:val="0"/>
                <w:sz w:val="24"/>
              </w:rPr>
              <w:t>①合理安排施工活动，合理安排工期，减少施工噪声影响时间。避免高噪声施工机械在同一区域内同时使用。</w:t>
            </w:r>
          </w:p>
          <w:p w14:paraId="3ECD9BEE">
            <w:pPr>
              <w:spacing w:line="360" w:lineRule="auto"/>
              <w:ind w:firstLine="482"/>
              <w:rPr>
                <w:rFonts w:hint="eastAsia"/>
                <w:color w:val="auto"/>
                <w:kern w:val="0"/>
                <w:sz w:val="24"/>
              </w:rPr>
            </w:pPr>
            <w:r>
              <w:rPr>
                <w:rFonts w:hint="eastAsia"/>
                <w:color w:val="auto"/>
                <w:kern w:val="0"/>
                <w:sz w:val="24"/>
              </w:rPr>
              <w:t>②尽量采用低噪声机械。移动较大的固定机械设备应加装减振机座，同时加强各类施工设备的维护保养，保持其良好的运行状态，最大限度减小噪声源强。</w:t>
            </w:r>
          </w:p>
          <w:p w14:paraId="46C45D58">
            <w:pPr>
              <w:spacing w:line="360" w:lineRule="auto"/>
              <w:ind w:firstLine="482"/>
              <w:rPr>
                <w:rFonts w:hint="eastAsia"/>
                <w:color w:val="auto"/>
                <w:kern w:val="0"/>
                <w:sz w:val="24"/>
              </w:rPr>
            </w:pPr>
            <w:r>
              <w:rPr>
                <w:rFonts w:hint="eastAsia"/>
                <w:color w:val="auto"/>
                <w:kern w:val="0"/>
                <w:sz w:val="24"/>
              </w:rPr>
              <w:t>③施工现场提倡文明施工，通过对全体有关人员进行培训、教育，培养环境观念，树立正确的环境意识，减少环境噪声污染，使作业人员在工作中对噪音影响予以控制。</w:t>
            </w:r>
          </w:p>
          <w:p w14:paraId="4450727B">
            <w:pPr>
              <w:spacing w:line="360" w:lineRule="auto"/>
              <w:ind w:firstLine="482"/>
              <w:rPr>
                <w:rFonts w:hint="eastAsia"/>
                <w:color w:val="auto"/>
                <w:kern w:val="0"/>
                <w:sz w:val="24"/>
              </w:rPr>
            </w:pPr>
            <w:r>
              <w:rPr>
                <w:rFonts w:hint="eastAsia"/>
                <w:color w:val="auto"/>
                <w:kern w:val="0"/>
                <w:sz w:val="24"/>
              </w:rPr>
              <w:t>④合理安排施工计划和施工时间，原则上禁止夜间施工，确因特殊需要必须连续作业的，必须有有关主管部门的证明，且必须公告附近居民。严禁高噪声设备在休息时间作业。</w:t>
            </w:r>
          </w:p>
          <w:p w14:paraId="4323C75C">
            <w:pPr>
              <w:spacing w:line="360" w:lineRule="auto"/>
              <w:ind w:firstLine="482"/>
              <w:rPr>
                <w:rFonts w:hint="eastAsia"/>
                <w:color w:val="auto"/>
                <w:kern w:val="0"/>
                <w:sz w:val="24"/>
              </w:rPr>
            </w:pPr>
            <w:r>
              <w:rPr>
                <w:rFonts w:hint="eastAsia"/>
                <w:color w:val="auto"/>
                <w:kern w:val="0"/>
                <w:sz w:val="24"/>
              </w:rPr>
              <w:t>⑤强化施工期间环境管理，严格控制施工车辆运输路线；同时对路经居民区的运输车辆应禁止鸣笛，尽量放慢车速，以减少运输车辆噪声对周边敏感点的影响。</w:t>
            </w:r>
          </w:p>
          <w:p w14:paraId="1E02741B">
            <w:pPr>
              <w:spacing w:line="360" w:lineRule="auto"/>
              <w:ind w:firstLine="482"/>
              <w:rPr>
                <w:rFonts w:hint="eastAsia"/>
                <w:color w:val="auto"/>
                <w:kern w:val="0"/>
                <w:sz w:val="24"/>
              </w:rPr>
            </w:pPr>
            <w:r>
              <w:rPr>
                <w:rFonts w:hint="eastAsia"/>
                <w:color w:val="auto"/>
                <w:kern w:val="0"/>
                <w:sz w:val="24"/>
              </w:rPr>
              <w:t>在严格执行上述措施的前提下，施工噪声可以得到有效减缓，昼间施工对周围敏感点影响不大。尽管施工噪声对环境产生一定的不利影响，但是施工期噪声影响是短暂的，一旦施工活动结束，施工噪声也就随之结束。</w:t>
            </w:r>
          </w:p>
          <w:p w14:paraId="4509E16D">
            <w:pPr>
              <w:ind w:firstLine="482"/>
              <w:rPr>
                <w:rFonts w:hint="eastAsia" w:ascii="Times New Roman" w:hAnsi="Times New Roman" w:eastAsia="宋体" w:cs="Times New Roman"/>
                <w:b/>
                <w:bCs/>
                <w:color w:val="auto"/>
                <w:kern w:val="0"/>
                <w:highlight w:val="none"/>
              </w:rPr>
            </w:pPr>
            <w:r>
              <w:rPr>
                <w:rFonts w:hint="eastAsia" w:ascii="Times New Roman" w:hAnsi="Times New Roman" w:eastAsia="宋体" w:cs="Times New Roman"/>
                <w:b/>
                <w:bCs/>
                <w:color w:val="auto"/>
                <w:kern w:val="0"/>
                <w:highlight w:val="none"/>
              </w:rPr>
              <w:t>4.</w:t>
            </w:r>
            <w:r>
              <w:rPr>
                <w:rFonts w:hint="eastAsia" w:cs="Times New Roman"/>
                <w:b/>
                <w:bCs/>
                <w:color w:val="auto"/>
                <w:kern w:val="0"/>
                <w:highlight w:val="none"/>
                <w:lang w:val="en-US" w:eastAsia="zh-CN"/>
              </w:rPr>
              <w:t>3</w:t>
            </w:r>
            <w:r>
              <w:rPr>
                <w:rFonts w:hint="eastAsia" w:ascii="Times New Roman" w:hAnsi="Times New Roman" w:eastAsia="宋体" w:cs="Times New Roman"/>
                <w:b/>
                <w:bCs/>
                <w:color w:val="auto"/>
                <w:kern w:val="0"/>
                <w:highlight w:val="none"/>
                <w:lang w:eastAsia="zh-CN"/>
              </w:rPr>
              <w:t>施工</w:t>
            </w:r>
            <w:r>
              <w:rPr>
                <w:rFonts w:hint="eastAsia" w:ascii="Times New Roman" w:hAnsi="Times New Roman" w:eastAsia="宋体" w:cs="Times New Roman"/>
                <w:b/>
                <w:bCs/>
                <w:color w:val="auto"/>
                <w:kern w:val="0"/>
                <w:highlight w:val="none"/>
              </w:rPr>
              <w:t>期</w:t>
            </w:r>
            <w:r>
              <w:rPr>
                <w:rFonts w:hint="eastAsia" w:ascii="Times New Roman" w:hAnsi="Times New Roman" w:eastAsia="宋体" w:cs="Times New Roman"/>
                <w:b/>
                <w:bCs/>
                <w:color w:val="auto"/>
                <w:kern w:val="0"/>
                <w:highlight w:val="none"/>
                <w:lang w:eastAsia="zh-CN"/>
              </w:rPr>
              <w:t>固体废物</w:t>
            </w:r>
            <w:r>
              <w:rPr>
                <w:rFonts w:hint="eastAsia" w:ascii="Times New Roman" w:hAnsi="Times New Roman" w:eastAsia="宋体" w:cs="Times New Roman"/>
                <w:b/>
                <w:bCs/>
                <w:color w:val="auto"/>
                <w:kern w:val="0"/>
                <w:highlight w:val="none"/>
              </w:rPr>
              <w:t>环境影响和保护措施</w:t>
            </w:r>
          </w:p>
          <w:p w14:paraId="329667D6">
            <w:pPr>
              <w:spacing w:line="360" w:lineRule="auto"/>
              <w:ind w:firstLine="482"/>
              <w:rPr>
                <w:rFonts w:hint="eastAsia"/>
                <w:color w:val="auto"/>
                <w:kern w:val="0"/>
                <w:sz w:val="24"/>
              </w:rPr>
            </w:pPr>
            <w:r>
              <w:rPr>
                <w:rFonts w:hint="eastAsia"/>
                <w:color w:val="auto"/>
                <w:kern w:val="0"/>
                <w:sz w:val="24"/>
              </w:rPr>
              <w:t>施工期固体废物主要为废包装材料。废包装材料出售给废品回收公司；施工人员生活垃圾由带盖垃圾桶分类收集后，交环卫部门定期清运。</w:t>
            </w:r>
          </w:p>
          <w:p w14:paraId="3D5955BD">
            <w:pPr>
              <w:spacing w:line="360" w:lineRule="auto"/>
              <w:ind w:firstLine="482"/>
              <w:rPr>
                <w:rFonts w:hint="eastAsia"/>
                <w:color w:val="auto"/>
                <w:kern w:val="0"/>
                <w:sz w:val="24"/>
              </w:rPr>
            </w:pPr>
            <w:r>
              <w:rPr>
                <w:rFonts w:hint="eastAsia"/>
                <w:color w:val="auto"/>
                <w:kern w:val="0"/>
                <w:sz w:val="24"/>
              </w:rPr>
              <w:t>综上，项目施工期产生的固体废物均能得到妥善处置，对周围环境影响较小。同时，施工期的影响是暂时的，施工结束后，影响区域的各环境要素基本可以得到恢复。</w:t>
            </w:r>
          </w:p>
        </w:tc>
      </w:tr>
      <w:tr w14:paraId="73ED9A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3" w:type="pct"/>
            <w:noWrap w:val="0"/>
            <w:tcMar>
              <w:left w:w="28" w:type="dxa"/>
              <w:right w:w="28" w:type="dxa"/>
            </w:tcMar>
            <w:vAlign w:val="center"/>
          </w:tcPr>
          <w:p w14:paraId="11D274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highlight w:val="none"/>
              </w:rPr>
            </w:pPr>
            <w:r>
              <w:rPr>
                <w:rFonts w:hint="eastAsia" w:ascii="Times New Roman" w:hAnsi="Times New Roman" w:eastAsia="宋体"/>
                <w:color w:val="auto"/>
                <w:highlight w:val="none"/>
              </w:rPr>
              <w:t>运营期环境影响和保护措施</w:t>
            </w:r>
          </w:p>
        </w:tc>
        <w:tc>
          <w:tcPr>
            <w:tcW w:w="4606" w:type="pct"/>
            <w:noWrap w:val="0"/>
            <w:vAlign w:val="center"/>
          </w:tcPr>
          <w:p w14:paraId="0B43083F">
            <w:pPr>
              <w:ind w:firstLine="482"/>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本项目山茱萸发酵酒生产线2024年</w:t>
            </w:r>
            <w:r>
              <w:rPr>
                <w:rFonts w:hint="eastAsia" w:cs="Times New Roman"/>
                <w:color w:val="auto"/>
                <w:kern w:val="0"/>
                <w:sz w:val="24"/>
                <w:szCs w:val="24"/>
                <w:lang w:val="en-US" w:eastAsia="zh-CN" w:bidi="ar-SA"/>
              </w:rPr>
              <w:t>建成</w:t>
            </w:r>
            <w:r>
              <w:rPr>
                <w:rFonts w:hint="eastAsia" w:ascii="Times New Roman" w:hAnsi="Times New Roman" w:eastAsia="宋体" w:cs="Times New Roman"/>
                <w:color w:val="auto"/>
                <w:kern w:val="0"/>
                <w:sz w:val="24"/>
                <w:szCs w:val="24"/>
                <w:lang w:val="en-US" w:eastAsia="zh-CN" w:bidi="ar-SA"/>
              </w:rPr>
              <w:t>，项目前期未依法开展环境影响评价及审批手续，本次为补办原有全厂环评手续同步实施改建工程，在现有发酵酒生产线基础上，新增1条脱醇酒生产线，因此，本次评价范围覆盖全厂现有已建生产设施以及本次新建生产线，全厂污染物产生、排放及环境影响、污染防治措施均按全厂总规模统一核算、整体分析。</w:t>
            </w:r>
          </w:p>
          <w:p w14:paraId="2D0EA567">
            <w:pPr>
              <w:ind w:firstLine="482"/>
              <w:rPr>
                <w:rFonts w:hint="eastAsia" w:ascii="Times New Roman" w:hAnsi="Times New Roman" w:eastAsia="宋体" w:cs="Times New Roman"/>
                <w:b/>
                <w:bCs/>
                <w:color w:val="auto"/>
                <w:kern w:val="0"/>
                <w:highlight w:val="none"/>
              </w:rPr>
            </w:pPr>
            <w:r>
              <w:rPr>
                <w:rFonts w:hint="eastAsia" w:ascii="Times New Roman" w:hAnsi="Times New Roman" w:eastAsia="宋体" w:cs="Times New Roman"/>
                <w:b/>
                <w:bCs/>
                <w:color w:val="auto"/>
                <w:kern w:val="0"/>
                <w:highlight w:val="none"/>
              </w:rPr>
              <w:t>4.</w:t>
            </w:r>
            <w:r>
              <w:rPr>
                <w:rFonts w:hint="eastAsia" w:cs="Times New Roman"/>
                <w:b/>
                <w:bCs/>
                <w:color w:val="auto"/>
                <w:kern w:val="0"/>
                <w:highlight w:val="none"/>
                <w:lang w:val="en-US" w:eastAsia="zh-CN"/>
              </w:rPr>
              <w:t>2</w:t>
            </w:r>
            <w:r>
              <w:rPr>
                <w:rFonts w:hint="eastAsia" w:ascii="Times New Roman" w:hAnsi="Times New Roman" w:eastAsia="宋体" w:cs="Times New Roman"/>
                <w:b/>
                <w:bCs/>
                <w:color w:val="auto"/>
                <w:kern w:val="0"/>
                <w:highlight w:val="none"/>
              </w:rPr>
              <w:t>运营期废气环境影响和保护措施</w:t>
            </w:r>
          </w:p>
          <w:p w14:paraId="48103224">
            <w:pPr>
              <w:pStyle w:val="11"/>
              <w:adjustRightInd w:val="0"/>
              <w:spacing w:before="0" w:beforeLines="0" w:after="0" w:afterLines="0" w:line="360" w:lineRule="auto"/>
              <w:ind w:firstLine="482" w:firstLineChars="200"/>
              <w:rPr>
                <w:rFonts w:hint="default" w:ascii="Times New Roman" w:hAnsi="Times New Roman" w:eastAsia="宋体" w:cs="Times New Roman"/>
                <w:b/>
                <w:color w:val="auto"/>
                <w:kern w:val="2"/>
                <w:sz w:val="24"/>
                <w:szCs w:val="27"/>
                <w:lang w:val="en-US" w:eastAsia="zh-CN" w:bidi="ar-SA"/>
              </w:rPr>
            </w:pPr>
            <w:r>
              <w:rPr>
                <w:rFonts w:hint="eastAsia" w:ascii="Times New Roman" w:hAnsi="Times New Roman" w:eastAsia="宋体" w:cs="Times New Roman"/>
                <w:b/>
                <w:color w:val="auto"/>
                <w:kern w:val="2"/>
                <w:sz w:val="24"/>
                <w:szCs w:val="27"/>
                <w:lang w:val="en-US" w:eastAsia="zh-CN" w:bidi="ar-SA"/>
              </w:rPr>
              <w:t>4.</w:t>
            </w:r>
            <w:r>
              <w:rPr>
                <w:rFonts w:hint="eastAsia" w:cs="Times New Roman"/>
                <w:b/>
                <w:color w:val="auto"/>
                <w:kern w:val="2"/>
                <w:sz w:val="24"/>
                <w:szCs w:val="27"/>
                <w:lang w:val="en-US" w:eastAsia="zh-CN" w:bidi="ar-SA"/>
              </w:rPr>
              <w:t>2</w:t>
            </w:r>
            <w:r>
              <w:rPr>
                <w:rFonts w:hint="eastAsia" w:ascii="Times New Roman" w:hAnsi="Times New Roman" w:eastAsia="宋体" w:cs="Times New Roman"/>
                <w:b/>
                <w:color w:val="auto"/>
                <w:kern w:val="2"/>
                <w:sz w:val="24"/>
                <w:szCs w:val="27"/>
                <w:lang w:val="en-US" w:eastAsia="zh-CN" w:bidi="ar-SA"/>
              </w:rPr>
              <w:t>.1废气源强核算</w:t>
            </w:r>
          </w:p>
          <w:p w14:paraId="268098BC">
            <w:pPr>
              <w:pStyle w:val="11"/>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right="113" w:firstLine="480" w:firstLineChars="200"/>
              <w:textAlignment w:val="auto"/>
              <w:rPr>
                <w:rFonts w:hint="eastAsia" w:ascii="Times New Roman" w:hAnsi="Times New Roman" w:eastAsia="宋体" w:cs="Times New Roman"/>
                <w:b w:val="0"/>
                <w:bCs w:val="0"/>
                <w:color w:val="auto"/>
                <w:sz w:val="24"/>
                <w:lang w:val="en-US" w:eastAsia="zh-CN"/>
              </w:rPr>
            </w:pPr>
            <w:r>
              <w:rPr>
                <w:rFonts w:hint="default" w:ascii="Times New Roman" w:hAnsi="Times New Roman" w:eastAsia="宋体" w:cs="Times New Roman"/>
                <w:color w:val="auto"/>
                <w:sz w:val="24"/>
                <w:szCs w:val="24"/>
                <w:lang w:val="en-US" w:eastAsia="zh-CN"/>
              </w:rPr>
              <w:t>根据</w:t>
            </w:r>
            <w:r>
              <w:rPr>
                <w:rFonts w:hint="eastAsia" w:cs="Times New Roman"/>
                <w:color w:val="auto"/>
                <w:sz w:val="24"/>
                <w:szCs w:val="24"/>
                <w:lang w:val="en-US" w:eastAsia="zh-CN"/>
              </w:rPr>
              <w:t>工艺流程分析</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highlight w:val="none"/>
                <w:lang w:val="en-US" w:eastAsia="zh-CN"/>
              </w:rPr>
              <w:t>运营期废气主要为发酵车间产生的少量有机废气（主要成分是乙醇，以非甲烷总烃表征）</w:t>
            </w:r>
            <w:r>
              <w:rPr>
                <w:rFonts w:hint="eastAsia"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过滤残渣堆存过程产生的异味（</w:t>
            </w:r>
            <w:r>
              <w:rPr>
                <w:rFonts w:hint="eastAsia" w:eastAsia="宋体" w:cs="Times New Roman"/>
                <w:color w:val="auto"/>
                <w:sz w:val="24"/>
                <w:highlight w:val="none"/>
                <w:lang w:val="en-US" w:eastAsia="zh-CN"/>
              </w:rPr>
              <w:t>臭气浓度、硫化氢、氨气</w:t>
            </w:r>
            <w:r>
              <w:rPr>
                <w:rFonts w:hint="eastAsia" w:ascii="Times New Roman" w:hAnsi="Times New Roman" w:eastAsia="宋体" w:cs="Times New Roman"/>
                <w:color w:val="auto"/>
                <w:sz w:val="24"/>
                <w:highlight w:val="none"/>
                <w:lang w:val="en-US" w:eastAsia="zh-CN"/>
              </w:rPr>
              <w:t>）</w:t>
            </w:r>
            <w:r>
              <w:rPr>
                <w:rFonts w:hint="eastAsia" w:cs="Times New Roman"/>
                <w:color w:val="auto"/>
                <w:sz w:val="24"/>
                <w:highlight w:val="none"/>
                <w:lang w:val="en-US" w:eastAsia="zh-CN"/>
              </w:rPr>
              <w:t>以及脱醇废气</w:t>
            </w:r>
            <w:r>
              <w:rPr>
                <w:rFonts w:hint="eastAsia" w:ascii="Times New Roman" w:hAnsi="Times New Roman" w:eastAsia="宋体" w:cs="Times New Roman"/>
                <w:b w:val="0"/>
                <w:bCs w:val="0"/>
                <w:color w:val="auto"/>
                <w:sz w:val="24"/>
                <w:lang w:val="en-US" w:eastAsia="zh-CN"/>
              </w:rPr>
              <w:t>。</w:t>
            </w:r>
          </w:p>
          <w:p w14:paraId="46F81EAE">
            <w:pPr>
              <w:numPr>
                <w:ilvl w:val="0"/>
                <w:numId w:val="4"/>
              </w:numPr>
              <w:spacing w:line="360" w:lineRule="auto"/>
              <w:ind w:firstLine="482" w:firstLineChars="200"/>
              <w:rPr>
                <w:rFonts w:hint="eastAsia"/>
                <w:b/>
                <w:bCs/>
                <w:color w:val="auto"/>
                <w:sz w:val="24"/>
                <w:lang w:eastAsia="zh-CN"/>
              </w:rPr>
            </w:pPr>
            <w:r>
              <w:rPr>
                <w:rFonts w:hint="eastAsia"/>
                <w:b/>
                <w:bCs/>
                <w:color w:val="auto"/>
                <w:sz w:val="24"/>
                <w:lang w:eastAsia="zh-CN"/>
              </w:rPr>
              <w:t>发酵废气（非甲烷总烃）</w:t>
            </w:r>
          </w:p>
          <w:p w14:paraId="022F58B9">
            <w:pPr>
              <w:pStyle w:val="11"/>
              <w:adjustRightInd w:val="0"/>
              <w:spacing w:before="0" w:beforeLines="0" w:after="0" w:afterLines="0"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项目不涉及蒸馏，主要采取发酵工艺，项目生产过程中产生的非甲烷总烃主要来源于发酵过程中乙醇挥发，项目发酵采用不锈钢罐密闭储存。</w:t>
            </w:r>
          </w:p>
          <w:p w14:paraId="6F202A60">
            <w:pPr>
              <w:pStyle w:val="11"/>
              <w:adjustRightInd w:val="0"/>
              <w:spacing w:before="0" w:beforeLines="0" w:after="0" w:afterLines="0"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FF0000"/>
                <w:sz w:val="24"/>
                <w:lang w:val="en-US" w:eastAsia="zh-CN"/>
              </w:rPr>
              <w:t>根据美国加州湾区空气质量管理区（BAAQMD）对红葡萄酒发酵过程的实测显示</w:t>
            </w:r>
            <w:r>
              <w:rPr>
                <w:rFonts w:hint="eastAsia" w:ascii="Times New Roman" w:hAnsi="Times New Roman" w:eastAsia="宋体" w:cs="Times New Roman"/>
                <w:bCs/>
                <w:color w:val="FF0000"/>
                <w:sz w:val="24"/>
                <w:lang w:val="en-US" w:eastAsia="zh-CN"/>
              </w:rPr>
              <w:t>以及类比同类项目：《盐城市子墨果酒有限公司年产180吨果酒及果汁项目环境影响报告表》和《</w:t>
            </w:r>
            <w:r>
              <w:rPr>
                <w:rFonts w:hint="eastAsia" w:ascii="Times New Roman" w:hAnsi="Times New Roman" w:eastAsia="宋体" w:cs="Times New Roman"/>
                <w:color w:val="FF0000"/>
                <w:sz w:val="24"/>
                <w:lang w:eastAsia="zh-CN"/>
              </w:rPr>
              <w:t>云南韵缘轩酒业有限公司果酒生产项目</w:t>
            </w:r>
            <w:r>
              <w:rPr>
                <w:rFonts w:hint="eastAsia" w:ascii="Times New Roman" w:hAnsi="Times New Roman" w:eastAsia="宋体" w:cs="Times New Roman"/>
                <w:bCs/>
                <w:color w:val="FF0000"/>
                <w:sz w:val="24"/>
                <w:lang w:val="en-US" w:eastAsia="zh-CN"/>
              </w:rPr>
              <w:t>环境影响报告表》，类比报告表</w:t>
            </w:r>
            <w:r>
              <w:rPr>
                <w:rFonts w:hint="eastAsia" w:cs="Times New Roman"/>
                <w:bCs/>
                <w:color w:val="FF0000"/>
                <w:sz w:val="24"/>
                <w:lang w:val="en-US" w:eastAsia="zh-CN"/>
              </w:rPr>
              <w:t>已取得环评批复，</w:t>
            </w:r>
            <w:r>
              <w:rPr>
                <w:rFonts w:hint="eastAsia" w:ascii="Times New Roman" w:hAnsi="Times New Roman" w:eastAsia="宋体" w:cs="Times New Roman"/>
                <w:bCs/>
                <w:color w:val="FF0000"/>
                <w:sz w:val="24"/>
                <w:lang w:val="en-US" w:eastAsia="zh-CN"/>
              </w:rPr>
              <w:t>生产工艺、所用原辅料类型、设备与本环评基本一致，类比可行：</w:t>
            </w:r>
            <w:r>
              <w:rPr>
                <w:rFonts w:hint="eastAsia" w:ascii="Times New Roman" w:hAnsi="Times New Roman" w:eastAsia="宋体" w:cs="Times New Roman"/>
                <w:b w:val="0"/>
                <w:bCs w:val="0"/>
                <w:color w:val="auto"/>
                <w:sz w:val="24"/>
                <w:lang w:val="en-US" w:eastAsia="zh-CN"/>
              </w:rPr>
              <w:t>乙醇挥发率约为0.18%（6.2磅/千加仑），</w:t>
            </w:r>
            <w:r>
              <w:rPr>
                <w:rFonts w:hint="eastAsia" w:eastAsia="宋体" w:cs="Times New Roman"/>
                <w:b w:val="0"/>
                <w:bCs w:val="0"/>
                <w:color w:val="auto"/>
                <w:sz w:val="24"/>
                <w:lang w:val="en-US" w:eastAsia="zh-CN"/>
              </w:rPr>
              <w:t>山茱萸</w:t>
            </w:r>
            <w:r>
              <w:rPr>
                <w:rFonts w:hint="eastAsia" w:ascii="Times New Roman" w:hAnsi="Times New Roman" w:eastAsia="宋体" w:cs="Times New Roman"/>
                <w:b w:val="0"/>
                <w:bCs w:val="0"/>
                <w:color w:val="auto"/>
                <w:sz w:val="24"/>
                <w:lang w:val="en-US" w:eastAsia="zh-CN"/>
              </w:rPr>
              <w:t>酒与红葡萄酒的发酵原理相似（均为液态发酵、不锈钢罐储存），但考虑到</w:t>
            </w:r>
            <w:r>
              <w:rPr>
                <w:rFonts w:hint="eastAsia" w:eastAsia="宋体" w:cs="Times New Roman"/>
                <w:b w:val="0"/>
                <w:bCs w:val="0"/>
                <w:color w:val="auto"/>
                <w:sz w:val="24"/>
                <w:lang w:val="en-US" w:eastAsia="zh-CN"/>
              </w:rPr>
              <w:t>山茱萸</w:t>
            </w:r>
            <w:r>
              <w:rPr>
                <w:rFonts w:hint="eastAsia" w:ascii="Times New Roman" w:hAnsi="Times New Roman" w:eastAsia="宋体" w:cs="Times New Roman"/>
                <w:b w:val="0"/>
                <w:bCs w:val="0"/>
                <w:color w:val="auto"/>
                <w:sz w:val="24"/>
                <w:lang w:val="en-US" w:eastAsia="zh-CN"/>
              </w:rPr>
              <w:t>酒的发酵周期</w:t>
            </w:r>
            <w:r>
              <w:rPr>
                <w:rFonts w:hint="eastAsia" w:eastAsia="宋体" w:cs="Times New Roman"/>
                <w:b w:val="0"/>
                <w:bCs w:val="0"/>
                <w:color w:val="auto"/>
                <w:sz w:val="24"/>
                <w:lang w:val="en-US" w:eastAsia="zh-CN"/>
              </w:rPr>
              <w:t>较</w:t>
            </w:r>
            <w:r>
              <w:rPr>
                <w:rFonts w:hint="eastAsia" w:ascii="Times New Roman" w:hAnsi="Times New Roman" w:eastAsia="宋体" w:cs="Times New Roman"/>
                <w:b w:val="0"/>
                <w:bCs w:val="0"/>
                <w:color w:val="auto"/>
                <w:sz w:val="24"/>
                <w:lang w:val="en-US" w:eastAsia="zh-CN"/>
              </w:rPr>
              <w:t>长（本项目发酵周期为</w:t>
            </w:r>
            <w:r>
              <w:rPr>
                <w:rFonts w:hint="eastAsia" w:eastAsia="宋体" w:cs="Times New Roman"/>
                <w:b w:val="0"/>
                <w:bCs w:val="0"/>
                <w:color w:val="auto"/>
                <w:sz w:val="24"/>
                <w:lang w:val="en-US" w:eastAsia="zh-CN"/>
              </w:rPr>
              <w:t>9</w:t>
            </w:r>
            <w:r>
              <w:rPr>
                <w:rFonts w:hint="eastAsia" w:ascii="Times New Roman" w:hAnsi="Times New Roman" w:eastAsia="宋体" w:cs="Times New Roman"/>
                <w:b w:val="0"/>
                <w:bCs w:val="0"/>
                <w:color w:val="auto"/>
                <w:sz w:val="24"/>
                <w:lang w:val="en-US" w:eastAsia="zh-CN"/>
              </w:rPr>
              <w:t>0天），将挥发率提高至0.</w:t>
            </w:r>
            <w:r>
              <w:rPr>
                <w:rFonts w:hint="eastAsia" w:eastAsia="宋体" w:cs="Times New Roman"/>
                <w:b w:val="0"/>
                <w:bCs w:val="0"/>
                <w:color w:val="auto"/>
                <w:sz w:val="24"/>
                <w:lang w:val="en-US" w:eastAsia="zh-CN"/>
              </w:rPr>
              <w:t>5</w:t>
            </w:r>
            <w:r>
              <w:rPr>
                <w:rFonts w:hint="eastAsia" w:ascii="Times New Roman" w:hAnsi="Times New Roman" w:eastAsia="宋体" w:cs="Times New Roman"/>
                <w:b w:val="0"/>
                <w:bCs w:val="0"/>
                <w:color w:val="auto"/>
                <w:sz w:val="24"/>
                <w:lang w:val="en-US" w:eastAsia="zh-CN"/>
              </w:rPr>
              <w:t>%，可覆盖工艺差异带来的额外挥发，因此，本项目乙醇的挥发率取值为0.</w:t>
            </w:r>
            <w:r>
              <w:rPr>
                <w:rFonts w:hint="eastAsia" w:eastAsia="宋体" w:cs="Times New Roman"/>
                <w:b w:val="0"/>
                <w:bCs w:val="0"/>
                <w:color w:val="auto"/>
                <w:sz w:val="24"/>
                <w:lang w:val="en-US" w:eastAsia="zh-CN"/>
              </w:rPr>
              <w:t>5</w:t>
            </w:r>
            <w:r>
              <w:rPr>
                <w:rFonts w:hint="eastAsia" w:ascii="Times New Roman" w:hAnsi="Times New Roman" w:eastAsia="宋体" w:cs="Times New Roman"/>
                <w:b w:val="0"/>
                <w:bCs w:val="0"/>
                <w:color w:val="auto"/>
                <w:sz w:val="24"/>
                <w:lang w:val="en-US" w:eastAsia="zh-CN"/>
              </w:rPr>
              <w:t>%。</w:t>
            </w:r>
          </w:p>
          <w:p w14:paraId="0E186EA1">
            <w:pPr>
              <w:pStyle w:val="11"/>
              <w:adjustRightInd w:val="0"/>
              <w:spacing w:before="0" w:beforeLines="0" w:after="0" w:afterLines="0"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本项目</w:t>
            </w:r>
            <w:r>
              <w:rPr>
                <w:rFonts w:hint="eastAsia" w:eastAsia="宋体" w:cs="Times New Roman"/>
                <w:b w:val="0"/>
                <w:bCs w:val="0"/>
                <w:color w:val="auto"/>
                <w:sz w:val="24"/>
                <w:lang w:val="en-US" w:eastAsia="zh-CN"/>
              </w:rPr>
              <w:t>山茱萸</w:t>
            </w:r>
            <w:r>
              <w:rPr>
                <w:rFonts w:hint="eastAsia" w:ascii="Times New Roman" w:hAnsi="Times New Roman" w:eastAsia="宋体" w:cs="Times New Roman"/>
                <w:b w:val="0"/>
                <w:bCs w:val="0"/>
                <w:color w:val="auto"/>
                <w:sz w:val="24"/>
                <w:lang w:val="en-US" w:eastAsia="zh-CN"/>
              </w:rPr>
              <w:t>酒中酒精度数约12%Vol，乙醇密度0.789kg/L，年产量为</w:t>
            </w:r>
            <w:r>
              <w:rPr>
                <w:rFonts w:hint="eastAsia" w:eastAsia="宋体" w:cs="Times New Roman"/>
                <w:b w:val="0"/>
                <w:bCs w:val="0"/>
                <w:color w:val="auto"/>
                <w:sz w:val="24"/>
                <w:lang w:val="en-US" w:eastAsia="zh-CN"/>
              </w:rPr>
              <w:t>2</w:t>
            </w:r>
            <w:r>
              <w:rPr>
                <w:rFonts w:hint="eastAsia" w:ascii="Times New Roman" w:hAnsi="Times New Roman" w:eastAsia="宋体" w:cs="Times New Roman"/>
                <w:b w:val="0"/>
                <w:bCs w:val="0"/>
                <w:color w:val="auto"/>
                <w:sz w:val="24"/>
                <w:lang w:val="en-US" w:eastAsia="zh-CN"/>
              </w:rPr>
              <w:t>00吨</w:t>
            </w:r>
            <w:r>
              <w:rPr>
                <w:rFonts w:hint="eastAsia" w:cs="Times New Roman"/>
                <w:b w:val="0"/>
                <w:bCs w:val="0"/>
                <w:color w:val="auto"/>
                <w:sz w:val="24"/>
                <w:lang w:val="en-US" w:eastAsia="zh-CN"/>
              </w:rPr>
              <w:t>（其中70吨作为脱醇酒原料）</w:t>
            </w:r>
            <w:r>
              <w:rPr>
                <w:rFonts w:hint="eastAsia" w:ascii="Times New Roman" w:hAnsi="Times New Roman" w:eastAsia="宋体" w:cs="Times New Roman"/>
                <w:b w:val="0"/>
                <w:bCs w:val="0"/>
                <w:color w:val="auto"/>
                <w:sz w:val="24"/>
                <w:lang w:val="en-US" w:eastAsia="zh-CN"/>
              </w:rPr>
              <w:t>，则乙醇的产生量计算如下：</w:t>
            </w:r>
          </w:p>
          <w:p w14:paraId="2211FC93">
            <w:pPr>
              <w:pStyle w:val="11"/>
              <w:adjustRightInd w:val="0"/>
              <w:spacing w:before="0" w:beforeLines="0" w:after="0" w:afterLines="0"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NMHC产生量=</w:t>
            </w:r>
            <w:r>
              <w:rPr>
                <w:rFonts w:hint="eastAsia" w:eastAsia="宋体" w:cs="Times New Roman"/>
                <w:b w:val="0"/>
                <w:bCs w:val="0"/>
                <w:color w:val="auto"/>
                <w:sz w:val="24"/>
                <w:lang w:val="en-US" w:eastAsia="zh-CN"/>
              </w:rPr>
              <w:t>山茱萸</w:t>
            </w:r>
            <w:r>
              <w:rPr>
                <w:rFonts w:hint="eastAsia" w:ascii="Times New Roman" w:hAnsi="Times New Roman" w:eastAsia="宋体" w:cs="Times New Roman"/>
                <w:b w:val="0"/>
                <w:bCs w:val="0"/>
                <w:color w:val="auto"/>
                <w:sz w:val="24"/>
                <w:lang w:val="en-US" w:eastAsia="zh-CN"/>
              </w:rPr>
              <w:t>酒产量×酒精度×乙醇密度×挥发率</w:t>
            </w:r>
          </w:p>
          <w:p w14:paraId="1C1D5540">
            <w:pPr>
              <w:pStyle w:val="11"/>
              <w:adjustRightInd w:val="0"/>
              <w:spacing w:before="0" w:beforeLines="0" w:after="0" w:afterLines="0"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本项目：</w:t>
            </w:r>
            <w:r>
              <w:rPr>
                <w:rFonts w:hint="eastAsia" w:eastAsia="宋体" w:cs="Times New Roman"/>
                <w:b w:val="0"/>
                <w:bCs w:val="0"/>
                <w:color w:val="auto"/>
                <w:sz w:val="24"/>
                <w:lang w:val="en-US" w:eastAsia="zh-CN"/>
              </w:rPr>
              <w:t>2</w:t>
            </w:r>
            <w:r>
              <w:rPr>
                <w:rFonts w:hint="eastAsia" w:ascii="Times New Roman" w:hAnsi="Times New Roman" w:eastAsia="宋体" w:cs="Times New Roman"/>
                <w:b w:val="0"/>
                <w:bCs w:val="0"/>
                <w:color w:val="auto"/>
                <w:sz w:val="24"/>
                <w:lang w:val="en-US" w:eastAsia="zh-CN"/>
              </w:rPr>
              <w:t>00吨×1000L/吨×12%×0.789kg/L=</w:t>
            </w:r>
            <w:r>
              <w:rPr>
                <w:rFonts w:hint="eastAsia" w:eastAsia="宋体" w:cs="Times New Roman"/>
                <w:b w:val="0"/>
                <w:bCs w:val="0"/>
                <w:color w:val="auto"/>
                <w:sz w:val="24"/>
                <w:lang w:val="en-US" w:eastAsia="zh-CN"/>
              </w:rPr>
              <w:t>18</w:t>
            </w:r>
            <w:r>
              <w:rPr>
                <w:rFonts w:hint="eastAsia" w:ascii="Times New Roman" w:hAnsi="Times New Roman" w:eastAsia="宋体" w:cs="Times New Roman"/>
                <w:b w:val="0"/>
                <w:bCs w:val="0"/>
                <w:color w:val="auto"/>
                <w:sz w:val="24"/>
                <w:lang w:val="en-US" w:eastAsia="zh-CN"/>
              </w:rPr>
              <w:t>.</w:t>
            </w:r>
            <w:r>
              <w:rPr>
                <w:rFonts w:hint="eastAsia" w:eastAsia="宋体" w:cs="Times New Roman"/>
                <w:b w:val="0"/>
                <w:bCs w:val="0"/>
                <w:color w:val="auto"/>
                <w:sz w:val="24"/>
                <w:lang w:val="en-US" w:eastAsia="zh-CN"/>
              </w:rPr>
              <w:t>936</w:t>
            </w:r>
            <w:r>
              <w:rPr>
                <w:rFonts w:hint="eastAsia" w:ascii="Times New Roman" w:hAnsi="Times New Roman" w:eastAsia="宋体" w:cs="Times New Roman"/>
                <w:b w:val="0"/>
                <w:bCs w:val="0"/>
                <w:color w:val="auto"/>
                <w:sz w:val="24"/>
                <w:lang w:val="en-US" w:eastAsia="zh-CN"/>
              </w:rPr>
              <w:t>吨/年</w:t>
            </w:r>
          </w:p>
          <w:p w14:paraId="5AE274FB">
            <w:pPr>
              <w:pStyle w:val="11"/>
              <w:adjustRightInd w:val="0"/>
              <w:spacing w:before="0" w:beforeLines="0" w:after="0" w:afterLines="0"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b w:val="0"/>
                <w:bCs w:val="0"/>
                <w:color w:val="auto"/>
                <w:sz w:val="24"/>
                <w:lang w:val="en-US" w:eastAsia="zh-CN"/>
              </w:rPr>
              <w:t>乙醇的挥发率为0.</w:t>
            </w:r>
            <w:r>
              <w:rPr>
                <w:rFonts w:hint="eastAsia" w:eastAsia="宋体" w:cs="Times New Roman"/>
                <w:b w:val="0"/>
                <w:bCs w:val="0"/>
                <w:color w:val="auto"/>
                <w:sz w:val="24"/>
                <w:lang w:val="en-US" w:eastAsia="zh-CN"/>
              </w:rPr>
              <w:t>5</w:t>
            </w:r>
            <w:r>
              <w:rPr>
                <w:rFonts w:hint="eastAsia" w:ascii="Times New Roman" w:hAnsi="Times New Roman" w:eastAsia="宋体" w:cs="Times New Roman"/>
                <w:b w:val="0"/>
                <w:bCs w:val="0"/>
                <w:color w:val="auto"/>
                <w:sz w:val="24"/>
                <w:lang w:val="en-US" w:eastAsia="zh-CN"/>
              </w:rPr>
              <w:t>%，则非甲烷总烃的</w:t>
            </w:r>
            <w:r>
              <w:rPr>
                <w:rFonts w:hint="eastAsia" w:cs="Times New Roman"/>
                <w:b w:val="0"/>
                <w:bCs w:val="0"/>
                <w:color w:val="auto"/>
                <w:sz w:val="24"/>
                <w:lang w:val="en-US" w:eastAsia="zh-CN"/>
              </w:rPr>
              <w:t>产生</w:t>
            </w:r>
            <w:r>
              <w:rPr>
                <w:rFonts w:hint="eastAsia" w:ascii="Times New Roman" w:hAnsi="Times New Roman" w:eastAsia="宋体" w:cs="Times New Roman"/>
                <w:b w:val="0"/>
                <w:bCs w:val="0"/>
                <w:color w:val="auto"/>
                <w:sz w:val="24"/>
                <w:lang w:val="en-US" w:eastAsia="zh-CN"/>
              </w:rPr>
              <w:t>量为0.</w:t>
            </w:r>
            <w:r>
              <w:rPr>
                <w:rFonts w:hint="eastAsia" w:eastAsia="宋体" w:cs="Times New Roman"/>
                <w:b w:val="0"/>
                <w:bCs w:val="0"/>
                <w:color w:val="auto"/>
                <w:sz w:val="24"/>
                <w:lang w:val="en-US" w:eastAsia="zh-CN"/>
              </w:rPr>
              <w:t>095</w:t>
            </w:r>
            <w:r>
              <w:rPr>
                <w:rFonts w:hint="eastAsia" w:ascii="Times New Roman" w:hAnsi="Times New Roman" w:eastAsia="宋体" w:cs="Times New Roman"/>
                <w:b w:val="0"/>
                <w:bCs w:val="0"/>
                <w:color w:val="auto"/>
                <w:sz w:val="24"/>
                <w:lang w:val="en-US" w:eastAsia="zh-CN"/>
              </w:rPr>
              <w:t>t/a，</w:t>
            </w:r>
            <w:r>
              <w:rPr>
                <w:rFonts w:hint="eastAsia" w:cs="Times New Roman"/>
                <w:b w:val="0"/>
                <w:bCs w:val="0"/>
                <w:color w:val="auto"/>
                <w:sz w:val="24"/>
                <w:lang w:val="en-US" w:eastAsia="zh-CN"/>
              </w:rPr>
              <w:t>产生速率为</w:t>
            </w:r>
            <w:r>
              <w:rPr>
                <w:rFonts w:hint="eastAsia" w:ascii="Times New Roman" w:hAnsi="Times New Roman" w:eastAsia="宋体" w:cs="Times New Roman"/>
                <w:b w:val="0"/>
                <w:bCs w:val="0"/>
                <w:color w:val="auto"/>
                <w:sz w:val="24"/>
                <w:lang w:val="en-US" w:eastAsia="zh-CN"/>
              </w:rPr>
              <w:t>0</w:t>
            </w:r>
            <w:r>
              <w:rPr>
                <w:rFonts w:hint="eastAsia" w:eastAsia="宋体" w:cs="Times New Roman"/>
                <w:b w:val="0"/>
                <w:bCs w:val="0"/>
                <w:color w:val="auto"/>
                <w:sz w:val="24"/>
                <w:lang w:val="en-US" w:eastAsia="zh-CN"/>
              </w:rPr>
              <w:t>.</w:t>
            </w:r>
            <w:r>
              <w:rPr>
                <w:rFonts w:hint="eastAsia" w:cs="Times New Roman"/>
                <w:b w:val="0"/>
                <w:bCs w:val="0"/>
                <w:color w:val="auto"/>
                <w:sz w:val="24"/>
                <w:lang w:val="en-US" w:eastAsia="zh-CN"/>
              </w:rPr>
              <w:t>036</w:t>
            </w:r>
            <w:r>
              <w:rPr>
                <w:rFonts w:hint="eastAsia" w:ascii="Times New Roman" w:hAnsi="Times New Roman" w:eastAsia="宋体" w:cs="Times New Roman"/>
                <w:b w:val="0"/>
                <w:bCs w:val="0"/>
                <w:color w:val="auto"/>
                <w:sz w:val="24"/>
                <w:lang w:val="en-US" w:eastAsia="zh-CN"/>
              </w:rPr>
              <w:t>kg/</w:t>
            </w:r>
            <w:r>
              <w:rPr>
                <w:rFonts w:hint="eastAsia" w:cs="Times New Roman"/>
                <w:b w:val="0"/>
                <w:bCs w:val="0"/>
                <w:color w:val="auto"/>
                <w:sz w:val="24"/>
                <w:lang w:val="en-US" w:eastAsia="zh-CN"/>
              </w:rPr>
              <w:t>h</w:t>
            </w:r>
            <w:r>
              <w:rPr>
                <w:rFonts w:hint="eastAsia" w:ascii="Times New Roman" w:hAnsi="Times New Roman" w:eastAsia="宋体" w:cs="Times New Roman"/>
                <w:b w:val="0"/>
                <w:bCs w:val="0"/>
                <w:color w:val="auto"/>
                <w:sz w:val="24"/>
                <w:lang w:val="en-US" w:eastAsia="zh-CN"/>
              </w:rPr>
              <w:t>，产生量极少，项目车间整体密闭，车间内设置机械排风设施，经车间通风换气后无组织排放对周边环境影响不大。</w:t>
            </w:r>
          </w:p>
          <w:p w14:paraId="5E93052A">
            <w:pPr>
              <w:numPr>
                <w:ilvl w:val="0"/>
                <w:numId w:val="4"/>
              </w:numPr>
              <w:spacing w:line="360" w:lineRule="auto"/>
              <w:ind w:firstLine="482" w:firstLineChars="200"/>
              <w:rPr>
                <w:rFonts w:hint="default"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过滤残渣堆存废气</w:t>
            </w:r>
          </w:p>
          <w:p w14:paraId="532A3A63">
            <w:pPr>
              <w:pStyle w:val="11"/>
              <w:adjustRightInd w:val="0"/>
              <w:spacing w:before="0" w:beforeLines="0" w:after="0" w:afterLines="0"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cs="Times New Roman"/>
                <w:b w:val="0"/>
                <w:bCs w:val="0"/>
                <w:color w:val="auto"/>
                <w:sz w:val="24"/>
                <w:lang w:val="en-US" w:eastAsia="zh-CN"/>
              </w:rPr>
              <w:t>项目类比《广东绿帝桂荔农业科技有限公司年产300吨果酒建设项目环境影响报告表》和《福建瑞醇酒业有限公司年产600吨果酒项目环境影响报告表》，</w:t>
            </w:r>
            <w:r>
              <w:rPr>
                <w:rFonts w:hint="eastAsia" w:cs="Times New Roman"/>
                <w:b w:val="0"/>
                <w:bCs w:val="0"/>
                <w:color w:val="FF0000"/>
                <w:sz w:val="24"/>
                <w:lang w:val="en-US" w:eastAsia="zh-CN"/>
              </w:rPr>
              <w:t>类比项目已取得批复且</w:t>
            </w:r>
            <w:r>
              <w:rPr>
                <w:rFonts w:hint="eastAsia" w:ascii="Times New Roman" w:hAnsi="Times New Roman" w:eastAsia="宋体" w:cs="Times New Roman"/>
                <w:bCs/>
                <w:color w:val="FF0000"/>
                <w:sz w:val="24"/>
                <w:lang w:val="en-US" w:eastAsia="zh-CN"/>
              </w:rPr>
              <w:t>生产工艺、所用原辅料类型、设备与本环评基本一致，类比可行</w:t>
            </w:r>
            <w:r>
              <w:rPr>
                <w:rFonts w:hint="eastAsia" w:cs="Times New Roman"/>
                <w:b w:val="0"/>
                <w:bCs w:val="0"/>
                <w:color w:val="auto"/>
                <w:sz w:val="24"/>
                <w:lang w:val="en-US" w:eastAsia="zh-CN"/>
              </w:rPr>
              <w:t>，</w:t>
            </w:r>
            <w:r>
              <w:rPr>
                <w:rFonts w:hint="eastAsia" w:ascii="Times New Roman" w:hAnsi="Times New Roman" w:eastAsia="宋体" w:cs="Times New Roman"/>
                <w:b w:val="0"/>
                <w:bCs w:val="0"/>
                <w:color w:val="auto"/>
                <w:sz w:val="24"/>
                <w:lang w:val="en-US" w:eastAsia="zh-CN"/>
              </w:rPr>
              <w:t>过滤残渣在车间暂存时产生的臭气浓度，在夏季和秋季，室外温度较高，过滤残渣在高温作用下极易腐变发酵，产生酸臭气味，还易滋生蚊蝇，对周围大气环境及厂区工作环境带来不利影响，根据建设单位提供信息，本项目拟在</w:t>
            </w:r>
            <w:r>
              <w:rPr>
                <w:rFonts w:hint="eastAsia" w:eastAsia="宋体" w:cs="Times New Roman"/>
                <w:b w:val="0"/>
                <w:bCs w:val="0"/>
                <w:color w:val="auto"/>
                <w:sz w:val="24"/>
                <w:lang w:val="en-US" w:eastAsia="zh-CN"/>
              </w:rPr>
              <w:t>过</w:t>
            </w:r>
            <w:r>
              <w:rPr>
                <w:rFonts w:hint="eastAsia" w:ascii="Times New Roman" w:hAnsi="Times New Roman" w:eastAsia="宋体" w:cs="Times New Roman"/>
                <w:b w:val="0"/>
                <w:bCs w:val="0"/>
                <w:color w:val="auto"/>
                <w:sz w:val="24"/>
                <w:lang w:val="en-US" w:eastAsia="zh-CN"/>
              </w:rPr>
              <w:t>滤残渣产生点设置</w:t>
            </w:r>
            <w:r>
              <w:rPr>
                <w:rFonts w:hint="eastAsia" w:cs="Times New Roman"/>
                <w:b w:val="0"/>
                <w:bCs w:val="0"/>
                <w:color w:val="auto"/>
                <w:sz w:val="24"/>
                <w:lang w:val="en-US" w:eastAsia="zh-CN"/>
              </w:rPr>
              <w:t>2</w:t>
            </w:r>
            <w:r>
              <w:rPr>
                <w:rFonts w:hint="eastAsia" w:ascii="Times New Roman" w:hAnsi="Times New Roman" w:eastAsia="宋体" w:cs="Times New Roman"/>
                <w:b w:val="0"/>
                <w:bCs w:val="0"/>
                <w:color w:val="auto"/>
                <w:sz w:val="24"/>
                <w:lang w:val="en-US" w:eastAsia="zh-CN"/>
              </w:rPr>
              <w:t>0kg容积的带盖塑料桶，用于收集此类固废，</w:t>
            </w:r>
            <w:r>
              <w:rPr>
                <w:rFonts w:hint="eastAsia" w:eastAsia="宋体" w:cs="Times New Roman"/>
                <w:b w:val="0"/>
                <w:bCs w:val="0"/>
                <w:color w:val="auto"/>
                <w:sz w:val="24"/>
                <w:lang w:val="en-US" w:eastAsia="zh-CN"/>
              </w:rPr>
              <w:t>过滤</w:t>
            </w:r>
            <w:r>
              <w:rPr>
                <w:rFonts w:hint="eastAsia" w:ascii="Times New Roman" w:hAnsi="Times New Roman" w:eastAsia="宋体" w:cs="Times New Roman"/>
                <w:b w:val="0"/>
                <w:bCs w:val="0"/>
                <w:color w:val="auto"/>
                <w:sz w:val="24"/>
                <w:lang w:val="en-US" w:eastAsia="zh-CN"/>
              </w:rPr>
              <w:t>残渣固废装入塑料桶后，即时封盖，</w:t>
            </w:r>
            <w:r>
              <w:rPr>
                <w:rFonts w:hint="eastAsia" w:cs="Times New Roman"/>
                <w:b w:val="0"/>
                <w:bCs w:val="0"/>
                <w:color w:val="auto"/>
                <w:sz w:val="24"/>
                <w:lang w:val="en-US" w:eastAsia="zh-CN"/>
              </w:rPr>
              <w:t>过滤</w:t>
            </w:r>
            <w:r>
              <w:rPr>
                <w:rFonts w:hint="eastAsia" w:ascii="Times New Roman" w:hAnsi="Times New Roman" w:eastAsia="宋体" w:cs="Times New Roman"/>
                <w:b w:val="0"/>
                <w:bCs w:val="0"/>
                <w:color w:val="auto"/>
                <w:sz w:val="24"/>
                <w:lang w:val="en-US" w:eastAsia="zh-CN"/>
              </w:rPr>
              <w:t>残渣收集后外售给养殖场作为饲料，日产日清，不在车间内堆存，产生量较少，故本评价不进行定量分析。</w:t>
            </w:r>
          </w:p>
          <w:p w14:paraId="71A7E761">
            <w:pPr>
              <w:numPr>
                <w:ilvl w:val="0"/>
                <w:numId w:val="4"/>
              </w:numPr>
              <w:spacing w:line="360" w:lineRule="auto"/>
              <w:ind w:firstLine="482" w:firstLineChars="200"/>
              <w:rPr>
                <w:rFonts w:hint="default"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脱醇废气</w:t>
            </w:r>
          </w:p>
          <w:p w14:paraId="20F38DF1">
            <w:pPr>
              <w:pStyle w:val="11"/>
              <w:adjustRightInd w:val="0"/>
              <w:spacing w:before="0" w:beforeLines="0" w:after="0" w:afterLines="0" w:line="360" w:lineRule="auto"/>
              <w:ind w:firstLine="480" w:firstLineChars="200"/>
              <w:rPr>
                <w:rFonts w:hint="eastAsia" w:cs="Times New Roman"/>
                <w:b w:val="0"/>
                <w:bCs w:val="0"/>
                <w:color w:val="auto"/>
                <w:sz w:val="24"/>
                <w:lang w:val="en-US" w:eastAsia="zh-CN"/>
              </w:rPr>
            </w:pPr>
            <w:r>
              <w:rPr>
                <w:rFonts w:hint="eastAsia" w:cs="Times New Roman"/>
                <w:color w:val="auto"/>
                <w:kern w:val="0"/>
                <w:sz w:val="24"/>
                <w:szCs w:val="20"/>
                <w:highlight w:val="none"/>
                <w:lang w:val="en-US" w:eastAsia="zh-CN" w:bidi="ar-SA"/>
              </w:rPr>
              <w:t>本项目需要将70t山茱萸发酵酒</w:t>
            </w:r>
            <w:r>
              <w:rPr>
                <w:rFonts w:hint="eastAsia" w:ascii="Times New Roman" w:hAnsi="Times New Roman" w:eastAsia="宋体" w:cs="Times New Roman"/>
                <w:color w:val="auto"/>
                <w:kern w:val="0"/>
                <w:sz w:val="24"/>
                <w:szCs w:val="20"/>
                <w:highlight w:val="none"/>
                <w:lang w:val="en-US" w:eastAsia="zh-CN" w:bidi="ar-SA"/>
              </w:rPr>
              <w:t>低温脱醇制成脱醇酒，</w:t>
            </w:r>
            <w:r>
              <w:rPr>
                <w:rFonts w:hint="eastAsia" w:cs="Times New Roman"/>
                <w:color w:val="auto"/>
                <w:kern w:val="0"/>
                <w:sz w:val="24"/>
                <w:szCs w:val="20"/>
                <w:highlight w:val="none"/>
                <w:lang w:val="en-US" w:eastAsia="zh-CN" w:bidi="ar-SA"/>
              </w:rPr>
              <w:t>采用</w:t>
            </w:r>
            <w:r>
              <w:rPr>
                <w:rFonts w:hint="eastAsia" w:ascii="Times New Roman" w:hAnsi="Times New Roman" w:eastAsia="宋体" w:cs="Times New Roman"/>
                <w:color w:val="auto"/>
                <w:kern w:val="0"/>
                <w:sz w:val="24"/>
                <w:szCs w:val="20"/>
                <w:highlight w:val="none"/>
                <w:lang w:val="en-US" w:eastAsia="zh-CN" w:bidi="ar-SA"/>
              </w:rPr>
              <w:t>真空脱醇设备</w:t>
            </w:r>
            <w:r>
              <w:rPr>
                <w:rFonts w:hint="eastAsia" w:cs="Times New Roman"/>
                <w:color w:val="auto"/>
                <w:kern w:val="0"/>
                <w:sz w:val="24"/>
                <w:szCs w:val="20"/>
                <w:highlight w:val="none"/>
                <w:lang w:val="en-US" w:eastAsia="zh-CN" w:bidi="ar-SA"/>
              </w:rPr>
              <w:t>在40℃条件下，脱醇时间40min。根据甲方提供的技术设计资料以及《果酒脱醇工艺中乙醇逃逸与控制》（2021.中国酿造）关于果酒脱醇工艺中乙醇挥发率可知“在常压蒸馏挥发率为3%~5%，真空低温（40~45℃，-0.08MPa）挥发率降至1%~1.5%”，本项目山茱萸发酵酒酒精度约为12%Vol，乙醇密度为</w:t>
            </w:r>
            <w:r>
              <w:rPr>
                <w:rFonts w:hint="eastAsia" w:ascii="Times New Roman" w:hAnsi="Times New Roman" w:eastAsia="宋体" w:cs="Times New Roman"/>
                <w:b w:val="0"/>
                <w:bCs w:val="0"/>
                <w:color w:val="auto"/>
                <w:sz w:val="24"/>
                <w:lang w:val="en-US" w:eastAsia="zh-CN"/>
              </w:rPr>
              <w:t>0.789kg/L</w:t>
            </w:r>
            <w:r>
              <w:rPr>
                <w:rFonts w:hint="eastAsia" w:cs="Times New Roman"/>
                <w:b w:val="0"/>
                <w:bCs w:val="0"/>
                <w:color w:val="auto"/>
                <w:sz w:val="24"/>
                <w:lang w:val="en-US" w:eastAsia="zh-CN"/>
              </w:rPr>
              <w:t>，脱醇工段乙醇挥发率为1.5%。</w:t>
            </w:r>
          </w:p>
          <w:p w14:paraId="42501215">
            <w:pPr>
              <w:pStyle w:val="11"/>
              <w:adjustRightInd w:val="0"/>
              <w:spacing w:before="0" w:beforeLines="0" w:after="0" w:afterLines="0" w:line="360" w:lineRule="auto"/>
              <w:ind w:firstLine="480" w:firstLineChars="200"/>
              <w:rPr>
                <w:rFonts w:hint="eastAsia" w:ascii="Times New Roman" w:hAnsi="Times New Roman" w:eastAsia="宋体" w:cs="Times New Roman"/>
                <w:b w:val="0"/>
                <w:bCs w:val="0"/>
                <w:color w:val="auto"/>
                <w:sz w:val="24"/>
                <w:highlight w:val="none"/>
                <w:lang w:val="en-US" w:eastAsia="zh-CN"/>
              </w:rPr>
            </w:pPr>
            <w:r>
              <w:rPr>
                <w:rFonts w:hint="eastAsia" w:cs="Times New Roman"/>
                <w:b w:val="0"/>
                <w:bCs w:val="0"/>
                <w:color w:val="auto"/>
                <w:sz w:val="24"/>
                <w:highlight w:val="none"/>
                <w:lang w:val="en-US" w:eastAsia="zh-CN"/>
              </w:rPr>
              <w:t>则</w:t>
            </w:r>
            <w:r>
              <w:rPr>
                <w:rFonts w:hint="eastAsia" w:ascii="Times New Roman" w:hAnsi="Times New Roman" w:eastAsia="宋体" w:cs="Times New Roman"/>
                <w:b w:val="0"/>
                <w:bCs w:val="0"/>
                <w:color w:val="auto"/>
                <w:sz w:val="24"/>
                <w:highlight w:val="none"/>
                <w:lang w:val="en-US" w:eastAsia="zh-CN"/>
              </w:rPr>
              <w:t>NMHC产生量=</w:t>
            </w:r>
            <w:r>
              <w:rPr>
                <w:rFonts w:hint="eastAsia" w:eastAsia="宋体" w:cs="Times New Roman"/>
                <w:b w:val="0"/>
                <w:bCs w:val="0"/>
                <w:color w:val="auto"/>
                <w:sz w:val="24"/>
                <w:highlight w:val="none"/>
                <w:lang w:val="en-US" w:eastAsia="zh-CN"/>
              </w:rPr>
              <w:t>山茱萸</w:t>
            </w:r>
            <w:r>
              <w:rPr>
                <w:rFonts w:hint="eastAsia" w:ascii="Times New Roman" w:hAnsi="Times New Roman" w:eastAsia="宋体" w:cs="Times New Roman"/>
                <w:b w:val="0"/>
                <w:bCs w:val="0"/>
                <w:color w:val="auto"/>
                <w:sz w:val="24"/>
                <w:highlight w:val="none"/>
                <w:lang w:val="en-US" w:eastAsia="zh-CN"/>
              </w:rPr>
              <w:t>酒</w:t>
            </w:r>
            <w:r>
              <w:rPr>
                <w:rFonts w:hint="eastAsia" w:cs="Times New Roman"/>
                <w:b w:val="0"/>
                <w:bCs w:val="0"/>
                <w:color w:val="auto"/>
                <w:sz w:val="24"/>
                <w:highlight w:val="none"/>
                <w:lang w:val="en-US" w:eastAsia="zh-CN"/>
              </w:rPr>
              <w:t>用</w:t>
            </w:r>
            <w:r>
              <w:rPr>
                <w:rFonts w:hint="eastAsia" w:ascii="Times New Roman" w:hAnsi="Times New Roman" w:eastAsia="宋体" w:cs="Times New Roman"/>
                <w:b w:val="0"/>
                <w:bCs w:val="0"/>
                <w:color w:val="auto"/>
                <w:sz w:val="24"/>
                <w:highlight w:val="none"/>
                <w:lang w:val="en-US" w:eastAsia="zh-CN"/>
              </w:rPr>
              <w:t>量×酒精度×乙醇密度×挥发率</w:t>
            </w:r>
          </w:p>
          <w:p w14:paraId="128FDC08">
            <w:pPr>
              <w:pStyle w:val="11"/>
              <w:adjustRightInd w:val="0"/>
              <w:spacing w:before="0" w:beforeLines="0" w:after="0" w:afterLines="0" w:line="360" w:lineRule="auto"/>
              <w:ind w:firstLine="480" w:firstLineChars="200"/>
              <w:rPr>
                <w:rFonts w:hint="eastAsia"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本项目：</w:t>
            </w:r>
            <w:r>
              <w:rPr>
                <w:rFonts w:hint="eastAsia" w:cs="Times New Roman"/>
                <w:b w:val="0"/>
                <w:bCs w:val="0"/>
                <w:color w:val="auto"/>
                <w:sz w:val="24"/>
                <w:highlight w:val="none"/>
                <w:lang w:val="en-US" w:eastAsia="zh-CN"/>
              </w:rPr>
              <w:t>7</w:t>
            </w:r>
            <w:r>
              <w:rPr>
                <w:rFonts w:hint="eastAsia" w:ascii="Times New Roman" w:hAnsi="Times New Roman" w:eastAsia="宋体" w:cs="Times New Roman"/>
                <w:b w:val="0"/>
                <w:bCs w:val="0"/>
                <w:color w:val="auto"/>
                <w:sz w:val="24"/>
                <w:highlight w:val="none"/>
                <w:lang w:val="en-US" w:eastAsia="zh-CN"/>
              </w:rPr>
              <w:t>0吨×1000L/吨×</w:t>
            </w:r>
            <w:r>
              <w:rPr>
                <w:rFonts w:hint="eastAsia" w:cs="Times New Roman"/>
                <w:b w:val="0"/>
                <w:bCs w:val="0"/>
                <w:color w:val="auto"/>
                <w:sz w:val="24"/>
                <w:highlight w:val="none"/>
                <w:lang w:val="en-US" w:eastAsia="zh-CN"/>
              </w:rPr>
              <w:t>12</w:t>
            </w:r>
            <w:r>
              <w:rPr>
                <w:rFonts w:hint="eastAsia" w:ascii="Times New Roman" w:hAnsi="Times New Roman" w:eastAsia="宋体" w:cs="Times New Roman"/>
                <w:b w:val="0"/>
                <w:bCs w:val="0"/>
                <w:color w:val="auto"/>
                <w:sz w:val="24"/>
                <w:highlight w:val="none"/>
                <w:lang w:val="en-US" w:eastAsia="zh-CN"/>
              </w:rPr>
              <w:t>%×0.789kg/L=</w:t>
            </w:r>
            <w:r>
              <w:rPr>
                <w:rFonts w:hint="eastAsia" w:cs="Times New Roman"/>
                <w:b w:val="0"/>
                <w:bCs w:val="0"/>
                <w:color w:val="auto"/>
                <w:sz w:val="24"/>
                <w:highlight w:val="none"/>
                <w:lang w:val="en-US" w:eastAsia="zh-CN"/>
              </w:rPr>
              <w:t>6.63</w:t>
            </w:r>
            <w:r>
              <w:rPr>
                <w:rFonts w:hint="eastAsia" w:ascii="Times New Roman" w:hAnsi="Times New Roman" w:eastAsia="宋体" w:cs="Times New Roman"/>
                <w:b w:val="0"/>
                <w:bCs w:val="0"/>
                <w:color w:val="auto"/>
                <w:sz w:val="24"/>
                <w:highlight w:val="none"/>
                <w:lang w:val="en-US" w:eastAsia="zh-CN"/>
              </w:rPr>
              <w:t>吨/年</w:t>
            </w:r>
          </w:p>
          <w:p w14:paraId="4653A2B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乙醇的挥发率为</w:t>
            </w:r>
            <w:r>
              <w:rPr>
                <w:rFonts w:hint="eastAsia" w:cs="Times New Roman"/>
                <w:b w:val="0"/>
                <w:bCs w:val="0"/>
                <w:color w:val="auto"/>
                <w:sz w:val="24"/>
                <w:highlight w:val="none"/>
                <w:lang w:val="en-US" w:eastAsia="zh-CN"/>
              </w:rPr>
              <w:t>1</w:t>
            </w:r>
            <w:r>
              <w:rPr>
                <w:rFonts w:hint="eastAsia" w:ascii="Times New Roman" w:hAnsi="Times New Roman" w:eastAsia="宋体" w:cs="Times New Roman"/>
                <w:b w:val="0"/>
                <w:bCs w:val="0"/>
                <w:color w:val="auto"/>
                <w:sz w:val="24"/>
                <w:highlight w:val="none"/>
                <w:lang w:val="en-US" w:eastAsia="zh-CN"/>
              </w:rPr>
              <w:t>.</w:t>
            </w:r>
            <w:r>
              <w:rPr>
                <w:rFonts w:hint="eastAsia" w:eastAsia="宋体" w:cs="Times New Roman"/>
                <w:b w:val="0"/>
                <w:bCs w:val="0"/>
                <w:color w:val="auto"/>
                <w:sz w:val="24"/>
                <w:highlight w:val="none"/>
                <w:lang w:val="en-US" w:eastAsia="zh-CN"/>
              </w:rPr>
              <w:t>5</w:t>
            </w:r>
            <w:r>
              <w:rPr>
                <w:rFonts w:hint="eastAsia" w:ascii="Times New Roman" w:hAnsi="Times New Roman" w:eastAsia="宋体" w:cs="Times New Roman"/>
                <w:b w:val="0"/>
                <w:bCs w:val="0"/>
                <w:color w:val="auto"/>
                <w:sz w:val="24"/>
                <w:highlight w:val="none"/>
                <w:lang w:val="en-US" w:eastAsia="zh-CN"/>
              </w:rPr>
              <w:t>%，则非甲烷总烃的产生量为0.</w:t>
            </w:r>
            <w:r>
              <w:rPr>
                <w:rFonts w:hint="eastAsia" w:eastAsia="宋体" w:cs="Times New Roman"/>
                <w:b w:val="0"/>
                <w:bCs w:val="0"/>
                <w:color w:val="auto"/>
                <w:sz w:val="24"/>
                <w:highlight w:val="none"/>
                <w:lang w:val="en-US" w:eastAsia="zh-CN"/>
              </w:rPr>
              <w:t>0</w:t>
            </w:r>
            <w:r>
              <w:rPr>
                <w:rFonts w:hint="eastAsia" w:cs="Times New Roman"/>
                <w:b w:val="0"/>
                <w:bCs w:val="0"/>
                <w:color w:val="auto"/>
                <w:sz w:val="24"/>
                <w:highlight w:val="none"/>
                <w:lang w:val="en-US" w:eastAsia="zh-CN"/>
              </w:rPr>
              <w:t>99</w:t>
            </w:r>
            <w:r>
              <w:rPr>
                <w:rFonts w:hint="eastAsia" w:ascii="Times New Roman" w:hAnsi="Times New Roman" w:eastAsia="宋体" w:cs="Times New Roman"/>
                <w:b w:val="0"/>
                <w:bCs w:val="0"/>
                <w:color w:val="auto"/>
                <w:sz w:val="24"/>
                <w:highlight w:val="none"/>
                <w:lang w:val="en-US" w:eastAsia="zh-CN"/>
              </w:rPr>
              <w:t>/a，</w:t>
            </w:r>
            <w:r>
              <w:rPr>
                <w:rFonts w:hint="eastAsia" w:cs="Times New Roman"/>
                <w:b w:val="0"/>
                <w:bCs w:val="0"/>
                <w:color w:val="auto"/>
                <w:sz w:val="24"/>
                <w:highlight w:val="none"/>
                <w:lang w:val="en-US" w:eastAsia="zh-CN"/>
              </w:rPr>
              <w:t>产生速率</w:t>
            </w:r>
            <w:r>
              <w:rPr>
                <w:rFonts w:hint="eastAsia" w:ascii="Times New Roman" w:hAnsi="Times New Roman" w:eastAsia="宋体" w:cs="Times New Roman"/>
                <w:b w:val="0"/>
                <w:bCs w:val="0"/>
                <w:color w:val="auto"/>
                <w:sz w:val="24"/>
                <w:highlight w:val="none"/>
                <w:lang w:val="en-US" w:eastAsia="zh-CN"/>
              </w:rPr>
              <w:t>0</w:t>
            </w:r>
            <w:r>
              <w:rPr>
                <w:rFonts w:hint="eastAsia" w:eastAsia="宋体" w:cs="Times New Roman"/>
                <w:b w:val="0"/>
                <w:bCs w:val="0"/>
                <w:color w:val="auto"/>
                <w:sz w:val="24"/>
                <w:highlight w:val="none"/>
                <w:lang w:val="en-US" w:eastAsia="zh-CN"/>
              </w:rPr>
              <w:t>.</w:t>
            </w:r>
            <w:r>
              <w:rPr>
                <w:rFonts w:hint="eastAsia" w:cs="Times New Roman"/>
                <w:b w:val="0"/>
                <w:bCs w:val="0"/>
                <w:color w:val="auto"/>
                <w:sz w:val="24"/>
                <w:highlight w:val="none"/>
                <w:lang w:val="en-US" w:eastAsia="zh-CN"/>
              </w:rPr>
              <w:t>113</w:t>
            </w:r>
            <w:r>
              <w:rPr>
                <w:rFonts w:hint="eastAsia" w:ascii="Times New Roman" w:hAnsi="Times New Roman" w:eastAsia="宋体" w:cs="Times New Roman"/>
                <w:b w:val="0"/>
                <w:bCs w:val="0"/>
                <w:color w:val="auto"/>
                <w:sz w:val="24"/>
                <w:highlight w:val="none"/>
                <w:lang w:val="en-US" w:eastAsia="zh-CN"/>
              </w:rPr>
              <w:t>kg/</w:t>
            </w:r>
            <w:r>
              <w:rPr>
                <w:rFonts w:hint="eastAsia" w:cs="Times New Roman"/>
                <w:b w:val="0"/>
                <w:bCs w:val="0"/>
                <w:color w:val="auto"/>
                <w:sz w:val="24"/>
                <w:highlight w:val="none"/>
                <w:lang w:val="en-US" w:eastAsia="zh-CN"/>
              </w:rPr>
              <w:t>h。</w:t>
            </w:r>
          </w:p>
          <w:p w14:paraId="63610D5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本项目真空低温脱醇设备自带内置冷凝回收装置，脱醇工序在负压密闭工况下运行，乙醇等挥发性有机物（VOCs）汽化后，首先进入设备自带冷凝系统，</w:t>
            </w:r>
            <w:r>
              <w:rPr>
                <w:rFonts w:hint="eastAsia" w:cs="Times New Roman"/>
                <w:b w:val="0"/>
                <w:bCs w:val="0"/>
                <w:color w:val="auto"/>
                <w:sz w:val="24"/>
                <w:highlight w:val="none"/>
                <w:lang w:val="en-US" w:eastAsia="zh-CN"/>
              </w:rPr>
              <w:t>大</w:t>
            </w:r>
            <w:r>
              <w:rPr>
                <w:rFonts w:hint="eastAsia" w:ascii="Times New Roman" w:hAnsi="Times New Roman" w:eastAsia="宋体" w:cs="Times New Roman"/>
                <w:b w:val="0"/>
                <w:bCs w:val="0"/>
                <w:color w:val="auto"/>
                <w:sz w:val="24"/>
                <w:highlight w:val="none"/>
                <w:lang w:val="en-US" w:eastAsia="zh-CN"/>
              </w:rPr>
              <w:t>部分乙醇蒸汽被冷凝液化回收</w:t>
            </w:r>
            <w:r>
              <w:rPr>
                <w:rFonts w:hint="eastAsia" w:cs="Times New Roman"/>
                <w:b w:val="0"/>
                <w:bCs w:val="0"/>
                <w:color w:val="auto"/>
                <w:sz w:val="24"/>
                <w:highlight w:val="none"/>
                <w:lang w:val="en-US" w:eastAsia="zh-CN"/>
              </w:rPr>
              <w:t>，根据厂家提供数据其冷凝回收效率为90%，经冷凝回收后，</w:t>
            </w:r>
            <w:r>
              <w:rPr>
                <w:rFonts w:hint="eastAsia" w:ascii="Times New Roman" w:hAnsi="Times New Roman" w:eastAsia="宋体" w:cs="Times New Roman"/>
                <w:b w:val="0"/>
                <w:bCs w:val="0"/>
                <w:color w:val="auto"/>
                <w:sz w:val="24"/>
                <w:highlight w:val="none"/>
                <w:lang w:val="en-US" w:eastAsia="zh-CN"/>
              </w:rPr>
              <w:t>非甲烷总烃</w:t>
            </w:r>
            <w:r>
              <w:rPr>
                <w:rFonts w:hint="eastAsia" w:cs="Times New Roman"/>
                <w:b w:val="0"/>
                <w:bCs w:val="0"/>
                <w:color w:val="auto"/>
                <w:sz w:val="24"/>
                <w:highlight w:val="none"/>
                <w:lang w:val="en-US" w:eastAsia="zh-CN"/>
              </w:rPr>
              <w:t>排放</w:t>
            </w:r>
            <w:r>
              <w:rPr>
                <w:rFonts w:hint="eastAsia" w:ascii="Times New Roman" w:hAnsi="Times New Roman" w:eastAsia="宋体" w:cs="Times New Roman"/>
                <w:b w:val="0"/>
                <w:bCs w:val="0"/>
                <w:color w:val="auto"/>
                <w:sz w:val="24"/>
                <w:highlight w:val="none"/>
                <w:lang w:val="en-US" w:eastAsia="zh-CN"/>
              </w:rPr>
              <w:t>量为0.</w:t>
            </w:r>
            <w:r>
              <w:rPr>
                <w:rFonts w:hint="eastAsia" w:eastAsia="宋体" w:cs="Times New Roman"/>
                <w:b w:val="0"/>
                <w:bCs w:val="0"/>
                <w:color w:val="auto"/>
                <w:sz w:val="24"/>
                <w:highlight w:val="none"/>
                <w:lang w:val="en-US" w:eastAsia="zh-CN"/>
              </w:rPr>
              <w:t>0</w:t>
            </w:r>
            <w:r>
              <w:rPr>
                <w:rFonts w:hint="eastAsia" w:cs="Times New Roman"/>
                <w:b w:val="0"/>
                <w:bCs w:val="0"/>
                <w:color w:val="auto"/>
                <w:sz w:val="24"/>
                <w:highlight w:val="none"/>
                <w:lang w:val="en-US" w:eastAsia="zh-CN"/>
              </w:rPr>
              <w:t>10</w:t>
            </w:r>
            <w:r>
              <w:rPr>
                <w:rFonts w:hint="eastAsia" w:ascii="Times New Roman" w:hAnsi="Times New Roman" w:eastAsia="宋体" w:cs="Times New Roman"/>
                <w:b w:val="0"/>
                <w:bCs w:val="0"/>
                <w:color w:val="auto"/>
                <w:sz w:val="24"/>
                <w:highlight w:val="none"/>
                <w:lang w:val="en-US" w:eastAsia="zh-CN"/>
              </w:rPr>
              <w:t>t/a，</w:t>
            </w:r>
            <w:r>
              <w:rPr>
                <w:rFonts w:hint="eastAsia" w:cs="Times New Roman"/>
                <w:b w:val="0"/>
                <w:bCs w:val="0"/>
                <w:color w:val="auto"/>
                <w:sz w:val="24"/>
                <w:highlight w:val="none"/>
                <w:lang w:val="en-US" w:eastAsia="zh-CN"/>
              </w:rPr>
              <w:t>排放速率为</w:t>
            </w:r>
            <w:r>
              <w:rPr>
                <w:rFonts w:hint="eastAsia" w:ascii="Times New Roman" w:hAnsi="Times New Roman" w:eastAsia="宋体" w:cs="Times New Roman"/>
                <w:b w:val="0"/>
                <w:bCs w:val="0"/>
                <w:color w:val="auto"/>
                <w:sz w:val="24"/>
                <w:highlight w:val="none"/>
                <w:lang w:val="en-US" w:eastAsia="zh-CN"/>
              </w:rPr>
              <w:t>0</w:t>
            </w:r>
            <w:r>
              <w:rPr>
                <w:rFonts w:hint="eastAsia" w:eastAsia="宋体" w:cs="Times New Roman"/>
                <w:b w:val="0"/>
                <w:bCs w:val="0"/>
                <w:color w:val="auto"/>
                <w:sz w:val="24"/>
                <w:highlight w:val="none"/>
                <w:lang w:val="en-US" w:eastAsia="zh-CN"/>
              </w:rPr>
              <w:t>.</w:t>
            </w:r>
            <w:r>
              <w:rPr>
                <w:rFonts w:hint="eastAsia" w:cs="Times New Roman"/>
                <w:b w:val="0"/>
                <w:bCs w:val="0"/>
                <w:color w:val="auto"/>
                <w:sz w:val="24"/>
                <w:highlight w:val="none"/>
                <w:lang w:val="en-US" w:eastAsia="zh-CN"/>
              </w:rPr>
              <w:t>011</w:t>
            </w:r>
            <w:r>
              <w:rPr>
                <w:rFonts w:hint="eastAsia" w:ascii="Times New Roman" w:hAnsi="Times New Roman" w:eastAsia="宋体" w:cs="Times New Roman"/>
                <w:b w:val="0"/>
                <w:bCs w:val="0"/>
                <w:color w:val="auto"/>
                <w:sz w:val="24"/>
                <w:highlight w:val="none"/>
                <w:lang w:val="en-US" w:eastAsia="zh-CN"/>
              </w:rPr>
              <w:t>kg/</w:t>
            </w:r>
            <w:r>
              <w:rPr>
                <w:rFonts w:hint="eastAsia" w:cs="Times New Roman"/>
                <w:b w:val="0"/>
                <w:bCs w:val="0"/>
                <w:color w:val="auto"/>
                <w:sz w:val="24"/>
                <w:highlight w:val="none"/>
                <w:lang w:val="en-US" w:eastAsia="zh-CN"/>
              </w:rPr>
              <w:t>h，</w:t>
            </w:r>
            <w:r>
              <w:rPr>
                <w:rFonts w:hint="eastAsia"/>
                <w:color w:val="auto"/>
                <w:highlight w:val="none"/>
                <w:lang w:val="en-GB" w:eastAsia="zh-CN"/>
              </w:rPr>
              <w:t>由于排放量较小，且生产均在密闭管道内进行，可通过车间通风换气无组织排放</w:t>
            </w:r>
            <w:r>
              <w:rPr>
                <w:rFonts w:hint="eastAsia" w:cs="Times New Roman"/>
                <w:b w:val="0"/>
                <w:bCs w:val="0"/>
                <w:color w:val="auto"/>
                <w:sz w:val="24"/>
                <w:highlight w:val="none"/>
                <w:lang w:val="en-US" w:eastAsia="zh-CN"/>
              </w:rPr>
              <w:t>。</w:t>
            </w:r>
          </w:p>
          <w:p w14:paraId="72F380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表</w:t>
            </w:r>
            <w:r>
              <w:rPr>
                <w:rFonts w:hint="eastAsia" w:ascii="Times New Roman" w:hAnsi="Times New Roman" w:eastAsia="宋体" w:cs="Times New Roman"/>
                <w:b/>
                <w:bCs/>
                <w:color w:val="auto"/>
                <w:sz w:val="21"/>
                <w:szCs w:val="21"/>
                <w:lang w:val="en-US" w:eastAsia="zh-CN"/>
              </w:rPr>
              <w:t>4-</w:t>
            </w:r>
            <w:r>
              <w:rPr>
                <w:rFonts w:hint="eastAsia" w:cs="Times New Roman"/>
                <w:b/>
                <w:bCs/>
                <w:color w:val="auto"/>
                <w:sz w:val="21"/>
                <w:szCs w:val="21"/>
                <w:lang w:val="en-US" w:eastAsia="zh-CN"/>
              </w:rPr>
              <w:t>1</w:t>
            </w:r>
            <w:r>
              <w:rPr>
                <w:rFonts w:hint="eastAsia" w:ascii="Times New Roman" w:hAnsi="Times New Roman" w:eastAsia="宋体" w:cs="Times New Roman"/>
                <w:b/>
                <w:bCs/>
                <w:color w:val="auto"/>
                <w:sz w:val="21"/>
                <w:szCs w:val="21"/>
              </w:rPr>
              <w:t xml:space="preserve"> 大气污染物产生及排放情况一览表</w:t>
            </w:r>
          </w:p>
          <w:tbl>
            <w:tblPr>
              <w:tblStyle w:val="25"/>
              <w:tblW w:w="4998" w:type="pct"/>
              <w:tblInd w:w="-1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410"/>
              <w:gridCol w:w="591"/>
              <w:gridCol w:w="725"/>
              <w:gridCol w:w="839"/>
              <w:gridCol w:w="668"/>
              <w:gridCol w:w="957"/>
              <w:gridCol w:w="734"/>
              <w:gridCol w:w="636"/>
              <w:gridCol w:w="452"/>
              <w:gridCol w:w="780"/>
              <w:gridCol w:w="889"/>
              <w:gridCol w:w="662"/>
              <w:gridCol w:w="695"/>
            </w:tblGrid>
            <w:tr w14:paraId="2F2D402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rPr>
              <w:tc>
                <w:tcPr>
                  <w:tcW w:w="226" w:type="pct"/>
                  <w:vMerge w:val="restart"/>
                  <w:tcBorders>
                    <w:tl2br w:val="nil"/>
                    <w:tr2bl w:val="nil"/>
                  </w:tcBorders>
                  <w:noWrap w:val="0"/>
                  <w:vAlign w:val="center"/>
                </w:tcPr>
                <w:p w14:paraId="5CA40B9E">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产污环节</w:t>
                  </w:r>
                </w:p>
              </w:tc>
              <w:tc>
                <w:tcPr>
                  <w:tcW w:w="326" w:type="pct"/>
                  <w:vMerge w:val="restart"/>
                  <w:tcBorders>
                    <w:tl2br w:val="nil"/>
                    <w:tr2bl w:val="nil"/>
                  </w:tcBorders>
                  <w:noWrap w:val="0"/>
                  <w:vAlign w:val="center"/>
                </w:tcPr>
                <w:p w14:paraId="545C6A59">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污染物种类</w:t>
                  </w:r>
                </w:p>
              </w:tc>
              <w:tc>
                <w:tcPr>
                  <w:tcW w:w="865" w:type="pct"/>
                  <w:gridSpan w:val="2"/>
                  <w:tcBorders>
                    <w:tl2br w:val="nil"/>
                    <w:tr2bl w:val="nil"/>
                  </w:tcBorders>
                  <w:noWrap w:val="0"/>
                  <w:vAlign w:val="center"/>
                </w:tcPr>
                <w:p w14:paraId="2E72BFF9">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污染物产生情况</w:t>
                  </w:r>
                </w:p>
              </w:tc>
              <w:tc>
                <w:tcPr>
                  <w:tcW w:w="369" w:type="pct"/>
                  <w:vMerge w:val="restart"/>
                  <w:tcBorders>
                    <w:tl2br w:val="nil"/>
                    <w:tr2bl w:val="nil"/>
                  </w:tcBorders>
                  <w:noWrap w:val="0"/>
                  <w:vAlign w:val="center"/>
                </w:tcPr>
                <w:p w14:paraId="552F2153">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排放形式</w:t>
                  </w:r>
                </w:p>
              </w:tc>
              <w:tc>
                <w:tcPr>
                  <w:tcW w:w="1968" w:type="pct"/>
                  <w:gridSpan w:val="5"/>
                  <w:tcBorders>
                    <w:tl2br w:val="nil"/>
                    <w:tr2bl w:val="nil"/>
                  </w:tcBorders>
                  <w:noWrap w:val="0"/>
                  <w:vAlign w:val="center"/>
                </w:tcPr>
                <w:p w14:paraId="2D7D6076">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治理设施</w:t>
                  </w:r>
                </w:p>
              </w:tc>
              <w:tc>
                <w:tcPr>
                  <w:tcW w:w="1242" w:type="pct"/>
                  <w:gridSpan w:val="3"/>
                  <w:tcBorders>
                    <w:tl2br w:val="nil"/>
                    <w:tr2bl w:val="nil"/>
                  </w:tcBorders>
                  <w:noWrap w:val="0"/>
                  <w:vAlign w:val="center"/>
                </w:tcPr>
                <w:p w14:paraId="3B9CC799">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污染物排放情况</w:t>
                  </w:r>
                </w:p>
              </w:tc>
            </w:tr>
            <w:tr w14:paraId="7721B09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rPr>
              <w:tc>
                <w:tcPr>
                  <w:tcW w:w="226" w:type="pct"/>
                  <w:vMerge w:val="continue"/>
                  <w:tcBorders>
                    <w:tl2br w:val="nil"/>
                    <w:tr2bl w:val="nil"/>
                  </w:tcBorders>
                  <w:noWrap w:val="0"/>
                  <w:vAlign w:val="center"/>
                </w:tcPr>
                <w:p w14:paraId="4C511AA5">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p>
              </w:tc>
              <w:tc>
                <w:tcPr>
                  <w:tcW w:w="326" w:type="pct"/>
                  <w:vMerge w:val="continue"/>
                  <w:tcBorders>
                    <w:tl2br w:val="nil"/>
                    <w:tr2bl w:val="nil"/>
                  </w:tcBorders>
                  <w:noWrap w:val="0"/>
                  <w:vAlign w:val="center"/>
                </w:tcPr>
                <w:p w14:paraId="592F15F0">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p>
              </w:tc>
              <w:tc>
                <w:tcPr>
                  <w:tcW w:w="401" w:type="pct"/>
                  <w:tcBorders>
                    <w:tl2br w:val="nil"/>
                    <w:tr2bl w:val="nil"/>
                  </w:tcBorders>
                  <w:noWrap w:val="0"/>
                  <w:vAlign w:val="center"/>
                </w:tcPr>
                <w:p w14:paraId="6970A284">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产生量/t/a</w:t>
                  </w:r>
                </w:p>
              </w:tc>
              <w:tc>
                <w:tcPr>
                  <w:tcW w:w="464" w:type="pct"/>
                  <w:tcBorders>
                    <w:tl2br w:val="nil"/>
                    <w:tr2bl w:val="nil"/>
                  </w:tcBorders>
                  <w:noWrap w:val="0"/>
                  <w:vAlign w:val="center"/>
                </w:tcPr>
                <w:p w14:paraId="4F641586">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产生浓度/mg/m</w:t>
                  </w:r>
                  <w:r>
                    <w:rPr>
                      <w:rFonts w:hint="eastAsia" w:ascii="Times New Roman" w:hAnsi="Times New Roman" w:eastAsia="宋体" w:cs="Times New Roman"/>
                      <w:color w:val="auto"/>
                      <w:kern w:val="2"/>
                      <w:sz w:val="21"/>
                      <w:szCs w:val="21"/>
                      <w:vertAlign w:val="superscript"/>
                      <w:lang w:val="en-US" w:eastAsia="zh-CN" w:bidi="ar-SA"/>
                    </w:rPr>
                    <w:t>3</w:t>
                  </w:r>
                </w:p>
              </w:tc>
              <w:tc>
                <w:tcPr>
                  <w:tcW w:w="369" w:type="pct"/>
                  <w:vMerge w:val="continue"/>
                  <w:tcBorders>
                    <w:tl2br w:val="nil"/>
                    <w:tr2bl w:val="nil"/>
                  </w:tcBorders>
                  <w:noWrap w:val="0"/>
                  <w:vAlign w:val="center"/>
                </w:tcPr>
                <w:p w14:paraId="23D5E6D3">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p>
              </w:tc>
              <w:tc>
                <w:tcPr>
                  <w:tcW w:w="529" w:type="pct"/>
                  <w:tcBorders>
                    <w:tl2br w:val="nil"/>
                    <w:tr2bl w:val="nil"/>
                  </w:tcBorders>
                  <w:noWrap w:val="0"/>
                  <w:vAlign w:val="center"/>
                </w:tcPr>
                <w:p w14:paraId="20CAF2DD">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治理设施</w:t>
                  </w:r>
                </w:p>
              </w:tc>
              <w:tc>
                <w:tcPr>
                  <w:tcW w:w="406" w:type="pct"/>
                  <w:tcBorders>
                    <w:tl2br w:val="nil"/>
                    <w:tr2bl w:val="nil"/>
                  </w:tcBorders>
                  <w:noWrap w:val="0"/>
                  <w:vAlign w:val="center"/>
                </w:tcPr>
                <w:p w14:paraId="3EA5E1AF">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处理能力m</w:t>
                  </w:r>
                  <w:r>
                    <w:rPr>
                      <w:rFonts w:hint="eastAsia" w:ascii="Times New Roman" w:hAnsi="Times New Roman" w:eastAsia="宋体" w:cs="Times New Roman"/>
                      <w:color w:val="auto"/>
                      <w:kern w:val="2"/>
                      <w:sz w:val="21"/>
                      <w:szCs w:val="21"/>
                      <w:vertAlign w:val="superscript"/>
                      <w:lang w:val="en-US" w:eastAsia="zh-CN" w:bidi="ar-SA"/>
                    </w:rPr>
                    <w:t>3</w:t>
                  </w:r>
                  <w:r>
                    <w:rPr>
                      <w:rFonts w:hint="eastAsia" w:ascii="Times New Roman" w:hAnsi="Times New Roman" w:eastAsia="宋体" w:cs="Times New Roman"/>
                      <w:color w:val="auto"/>
                      <w:kern w:val="2"/>
                      <w:sz w:val="21"/>
                      <w:szCs w:val="21"/>
                      <w:lang w:val="en-US" w:eastAsia="zh-CN" w:bidi="ar-SA"/>
                    </w:rPr>
                    <w:t>/h</w:t>
                  </w:r>
                </w:p>
              </w:tc>
              <w:tc>
                <w:tcPr>
                  <w:tcW w:w="351" w:type="pct"/>
                  <w:tcBorders>
                    <w:tl2br w:val="nil"/>
                    <w:tr2bl w:val="nil"/>
                  </w:tcBorders>
                  <w:noWrap w:val="0"/>
                  <w:vAlign w:val="center"/>
                </w:tcPr>
                <w:p w14:paraId="03D3F589">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收集效率%</w:t>
                  </w:r>
                </w:p>
              </w:tc>
              <w:tc>
                <w:tcPr>
                  <w:tcW w:w="250" w:type="pct"/>
                  <w:tcBorders>
                    <w:tl2br w:val="nil"/>
                    <w:tr2bl w:val="nil"/>
                  </w:tcBorders>
                  <w:noWrap w:val="0"/>
                  <w:vAlign w:val="center"/>
                </w:tcPr>
                <w:p w14:paraId="6B4A1235">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去除率%</w:t>
                  </w:r>
                </w:p>
              </w:tc>
              <w:tc>
                <w:tcPr>
                  <w:tcW w:w="431" w:type="pct"/>
                  <w:tcBorders>
                    <w:tl2br w:val="nil"/>
                    <w:tr2bl w:val="nil"/>
                  </w:tcBorders>
                  <w:noWrap w:val="0"/>
                  <w:vAlign w:val="center"/>
                </w:tcPr>
                <w:p w14:paraId="68063DAE">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是否为可行技术</w:t>
                  </w:r>
                </w:p>
              </w:tc>
              <w:tc>
                <w:tcPr>
                  <w:tcW w:w="491" w:type="pct"/>
                  <w:tcBorders>
                    <w:tl2br w:val="nil"/>
                    <w:tr2bl w:val="nil"/>
                  </w:tcBorders>
                  <w:noWrap w:val="0"/>
                  <w:vAlign w:val="center"/>
                </w:tcPr>
                <w:p w14:paraId="1C007851">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排放浓度/mg/m</w:t>
                  </w:r>
                  <w:r>
                    <w:rPr>
                      <w:rFonts w:hint="eastAsia" w:ascii="Times New Roman" w:hAnsi="Times New Roman" w:eastAsia="宋体" w:cs="Times New Roman"/>
                      <w:color w:val="auto"/>
                      <w:kern w:val="2"/>
                      <w:sz w:val="21"/>
                      <w:szCs w:val="21"/>
                      <w:vertAlign w:val="superscript"/>
                      <w:lang w:val="en-US" w:eastAsia="zh-CN" w:bidi="ar-SA"/>
                    </w:rPr>
                    <w:t>3</w:t>
                  </w:r>
                </w:p>
              </w:tc>
              <w:tc>
                <w:tcPr>
                  <w:tcW w:w="366" w:type="pct"/>
                  <w:tcBorders>
                    <w:tl2br w:val="nil"/>
                    <w:tr2bl w:val="nil"/>
                  </w:tcBorders>
                  <w:noWrap w:val="0"/>
                  <w:vAlign w:val="center"/>
                </w:tcPr>
                <w:p w14:paraId="3DDDBC0E">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排放速率/kg/h</w:t>
                  </w:r>
                </w:p>
              </w:tc>
              <w:tc>
                <w:tcPr>
                  <w:tcW w:w="384" w:type="pct"/>
                  <w:tcBorders>
                    <w:tl2br w:val="nil"/>
                    <w:tr2bl w:val="nil"/>
                  </w:tcBorders>
                  <w:noWrap w:val="0"/>
                  <w:vAlign w:val="center"/>
                </w:tcPr>
                <w:p w14:paraId="4B6DC461">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排放量/t/a</w:t>
                  </w:r>
                </w:p>
              </w:tc>
            </w:tr>
            <w:tr w14:paraId="444DB50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26" w:type="pct"/>
                  <w:tcBorders>
                    <w:tl2br w:val="nil"/>
                    <w:tr2bl w:val="nil"/>
                  </w:tcBorders>
                  <w:noWrap w:val="0"/>
                  <w:vAlign w:val="center"/>
                </w:tcPr>
                <w:p w14:paraId="628A9128">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发酵过程</w:t>
                  </w:r>
                </w:p>
              </w:tc>
              <w:tc>
                <w:tcPr>
                  <w:tcW w:w="326" w:type="pct"/>
                  <w:tcBorders>
                    <w:tl2br w:val="nil"/>
                    <w:tr2bl w:val="nil"/>
                  </w:tcBorders>
                  <w:noWrap w:val="0"/>
                  <w:vAlign w:val="center"/>
                </w:tcPr>
                <w:p w14:paraId="3BB77104">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非甲烷总烃</w:t>
                  </w:r>
                </w:p>
              </w:tc>
              <w:tc>
                <w:tcPr>
                  <w:tcW w:w="401" w:type="pct"/>
                  <w:tcBorders>
                    <w:tl2br w:val="nil"/>
                    <w:tr2bl w:val="nil"/>
                  </w:tcBorders>
                  <w:noWrap w:val="0"/>
                  <w:vAlign w:val="center"/>
                </w:tcPr>
                <w:p w14:paraId="14CD4F38">
                  <w:pPr>
                    <w:widowControl w:val="0"/>
                    <w:wordWrap/>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0.095</w:t>
                  </w:r>
                </w:p>
              </w:tc>
              <w:tc>
                <w:tcPr>
                  <w:tcW w:w="464" w:type="pct"/>
                  <w:tcBorders>
                    <w:tl2br w:val="nil"/>
                    <w:tr2bl w:val="nil"/>
                  </w:tcBorders>
                  <w:noWrap w:val="0"/>
                  <w:vAlign w:val="center"/>
                </w:tcPr>
                <w:p w14:paraId="01003D3D">
                  <w:pPr>
                    <w:widowControl w:val="0"/>
                    <w:wordWrap/>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369" w:type="pct"/>
                  <w:tcBorders>
                    <w:tl2br w:val="nil"/>
                    <w:tr2bl w:val="nil"/>
                  </w:tcBorders>
                  <w:noWrap w:val="0"/>
                  <w:vAlign w:val="center"/>
                </w:tcPr>
                <w:p w14:paraId="0D7F4B62">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无组织</w:t>
                  </w:r>
                </w:p>
              </w:tc>
              <w:tc>
                <w:tcPr>
                  <w:tcW w:w="529" w:type="pct"/>
                  <w:tcBorders>
                    <w:tl2br w:val="nil"/>
                    <w:tr2bl w:val="nil"/>
                  </w:tcBorders>
                  <w:noWrap w:val="0"/>
                  <w:vAlign w:val="center"/>
                </w:tcPr>
                <w:p w14:paraId="179779B0">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车间通风换气</w:t>
                  </w:r>
                </w:p>
              </w:tc>
              <w:tc>
                <w:tcPr>
                  <w:tcW w:w="406" w:type="pct"/>
                  <w:tcBorders>
                    <w:tl2br w:val="nil"/>
                    <w:tr2bl w:val="nil"/>
                  </w:tcBorders>
                  <w:noWrap w:val="0"/>
                  <w:vAlign w:val="center"/>
                </w:tcPr>
                <w:p w14:paraId="5875325C">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351" w:type="pct"/>
                  <w:tcBorders>
                    <w:tl2br w:val="nil"/>
                    <w:tr2bl w:val="nil"/>
                  </w:tcBorders>
                  <w:noWrap w:val="0"/>
                  <w:vAlign w:val="center"/>
                </w:tcPr>
                <w:p w14:paraId="7B73DCD3">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250" w:type="pct"/>
                  <w:tcBorders>
                    <w:tl2br w:val="nil"/>
                    <w:tr2bl w:val="nil"/>
                  </w:tcBorders>
                  <w:noWrap w:val="0"/>
                  <w:vAlign w:val="center"/>
                </w:tcPr>
                <w:p w14:paraId="7CD3D207">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431" w:type="pct"/>
                  <w:tcBorders>
                    <w:tl2br w:val="nil"/>
                    <w:tr2bl w:val="nil"/>
                  </w:tcBorders>
                  <w:noWrap w:val="0"/>
                  <w:vAlign w:val="center"/>
                </w:tcPr>
                <w:p w14:paraId="1D57F0CD">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491" w:type="pct"/>
                  <w:tcBorders>
                    <w:tl2br w:val="nil"/>
                    <w:tr2bl w:val="nil"/>
                  </w:tcBorders>
                  <w:noWrap w:val="0"/>
                  <w:vAlign w:val="center"/>
                </w:tcPr>
                <w:p w14:paraId="635BE04F">
                  <w:pPr>
                    <w:widowControl w:val="0"/>
                    <w:wordWrap/>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366" w:type="pct"/>
                  <w:tcBorders>
                    <w:tl2br w:val="nil"/>
                    <w:tr2bl w:val="nil"/>
                  </w:tcBorders>
                  <w:noWrap w:val="0"/>
                  <w:vAlign w:val="center"/>
                </w:tcPr>
                <w:p w14:paraId="7B1BF557">
                  <w:pPr>
                    <w:widowControl w:val="0"/>
                    <w:wordWrap/>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0.036</w:t>
                  </w:r>
                </w:p>
              </w:tc>
              <w:tc>
                <w:tcPr>
                  <w:tcW w:w="384" w:type="pct"/>
                  <w:tcBorders>
                    <w:tl2br w:val="nil"/>
                    <w:tr2bl w:val="nil"/>
                  </w:tcBorders>
                  <w:noWrap w:val="0"/>
                  <w:vAlign w:val="center"/>
                </w:tcPr>
                <w:p w14:paraId="3925B3F2">
                  <w:pPr>
                    <w:widowControl w:val="0"/>
                    <w:wordWrap/>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0.095</w:t>
                  </w:r>
                </w:p>
              </w:tc>
            </w:tr>
            <w:tr w14:paraId="78436FF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rPr>
              <w:tc>
                <w:tcPr>
                  <w:tcW w:w="226" w:type="pct"/>
                  <w:tcBorders>
                    <w:tl2br w:val="nil"/>
                    <w:tr2bl w:val="nil"/>
                  </w:tcBorders>
                  <w:noWrap w:val="0"/>
                  <w:vAlign w:val="center"/>
                </w:tcPr>
                <w:p w14:paraId="4C367524">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脱醇过程</w:t>
                  </w:r>
                </w:p>
              </w:tc>
              <w:tc>
                <w:tcPr>
                  <w:tcW w:w="326" w:type="pct"/>
                  <w:tcBorders>
                    <w:tl2br w:val="nil"/>
                    <w:tr2bl w:val="nil"/>
                  </w:tcBorders>
                  <w:noWrap w:val="0"/>
                  <w:vAlign w:val="center"/>
                </w:tcPr>
                <w:p w14:paraId="0CE7826A">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非甲烷总烃</w:t>
                  </w:r>
                </w:p>
              </w:tc>
              <w:tc>
                <w:tcPr>
                  <w:tcW w:w="401" w:type="pct"/>
                  <w:tcBorders>
                    <w:tl2br w:val="nil"/>
                    <w:tr2bl w:val="nil"/>
                  </w:tcBorders>
                  <w:noWrap w:val="0"/>
                  <w:vAlign w:val="center"/>
                </w:tcPr>
                <w:p w14:paraId="45AC89EB">
                  <w:pPr>
                    <w:widowControl w:val="0"/>
                    <w:wordWrap/>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w:t>
                  </w:r>
                  <w:r>
                    <w:rPr>
                      <w:rFonts w:hint="eastAsia" w:cs="Times New Roman"/>
                      <w:color w:val="auto"/>
                      <w:kern w:val="2"/>
                      <w:sz w:val="21"/>
                      <w:szCs w:val="21"/>
                      <w:lang w:val="en-US" w:eastAsia="zh-CN" w:bidi="ar-SA"/>
                    </w:rPr>
                    <w:t>99</w:t>
                  </w:r>
                </w:p>
              </w:tc>
              <w:tc>
                <w:tcPr>
                  <w:tcW w:w="464" w:type="pct"/>
                  <w:tcBorders>
                    <w:tl2br w:val="nil"/>
                    <w:tr2bl w:val="nil"/>
                  </w:tcBorders>
                  <w:noWrap w:val="0"/>
                  <w:vAlign w:val="center"/>
                </w:tcPr>
                <w:p w14:paraId="649BACC1">
                  <w:pPr>
                    <w:widowControl w:val="0"/>
                    <w:wordWrap/>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369" w:type="pct"/>
                  <w:tcBorders>
                    <w:tl2br w:val="nil"/>
                    <w:tr2bl w:val="nil"/>
                  </w:tcBorders>
                  <w:noWrap w:val="0"/>
                  <w:vAlign w:val="center"/>
                </w:tcPr>
                <w:p w14:paraId="2C06CD7B">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无组织</w:t>
                  </w:r>
                </w:p>
              </w:tc>
              <w:tc>
                <w:tcPr>
                  <w:tcW w:w="529" w:type="pct"/>
                  <w:tcBorders>
                    <w:tl2br w:val="nil"/>
                    <w:tr2bl w:val="nil"/>
                  </w:tcBorders>
                  <w:noWrap w:val="0"/>
                  <w:vAlign w:val="center"/>
                </w:tcPr>
                <w:p w14:paraId="438C92CA">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冷凝回收</w:t>
                  </w:r>
                </w:p>
              </w:tc>
              <w:tc>
                <w:tcPr>
                  <w:tcW w:w="406" w:type="pct"/>
                  <w:tcBorders>
                    <w:tl2br w:val="nil"/>
                    <w:tr2bl w:val="nil"/>
                  </w:tcBorders>
                  <w:noWrap w:val="0"/>
                  <w:vAlign w:val="center"/>
                </w:tcPr>
                <w:p w14:paraId="315ED5B5">
                  <w:pPr>
                    <w:widowControl w:val="0"/>
                    <w:wordWrap/>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351" w:type="pct"/>
                  <w:tcBorders>
                    <w:tl2br w:val="nil"/>
                    <w:tr2bl w:val="nil"/>
                  </w:tcBorders>
                  <w:noWrap w:val="0"/>
                  <w:vAlign w:val="center"/>
                </w:tcPr>
                <w:p w14:paraId="19918BDA">
                  <w:pPr>
                    <w:widowControl w:val="0"/>
                    <w:wordWrap/>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90</w:t>
                  </w:r>
                </w:p>
              </w:tc>
              <w:tc>
                <w:tcPr>
                  <w:tcW w:w="250" w:type="pct"/>
                  <w:tcBorders>
                    <w:tl2br w:val="nil"/>
                    <w:tr2bl w:val="nil"/>
                  </w:tcBorders>
                  <w:noWrap w:val="0"/>
                  <w:vAlign w:val="center"/>
                </w:tcPr>
                <w:p w14:paraId="4241A4BC">
                  <w:pPr>
                    <w:widowControl w:val="0"/>
                    <w:wordWrap/>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431" w:type="pct"/>
                  <w:tcBorders>
                    <w:tl2br w:val="nil"/>
                    <w:tr2bl w:val="nil"/>
                  </w:tcBorders>
                  <w:noWrap w:val="0"/>
                  <w:vAlign w:val="center"/>
                </w:tcPr>
                <w:p w14:paraId="5CBCD469">
                  <w:pPr>
                    <w:widowControl w:val="0"/>
                    <w:wordWrap/>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是</w:t>
                  </w:r>
                </w:p>
              </w:tc>
              <w:tc>
                <w:tcPr>
                  <w:tcW w:w="491" w:type="pct"/>
                  <w:tcBorders>
                    <w:tl2br w:val="nil"/>
                    <w:tr2bl w:val="nil"/>
                  </w:tcBorders>
                  <w:noWrap w:val="0"/>
                  <w:vAlign w:val="center"/>
                </w:tcPr>
                <w:p w14:paraId="1061CBBC">
                  <w:pPr>
                    <w:widowControl w:val="0"/>
                    <w:wordWrap/>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366" w:type="pct"/>
                  <w:tcBorders>
                    <w:tl2br w:val="nil"/>
                    <w:tr2bl w:val="nil"/>
                  </w:tcBorders>
                  <w:noWrap w:val="0"/>
                  <w:vAlign w:val="center"/>
                </w:tcPr>
                <w:p w14:paraId="67A20DF5">
                  <w:pPr>
                    <w:widowControl w:val="0"/>
                    <w:wordWrap/>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w:t>
                  </w:r>
                  <w:r>
                    <w:rPr>
                      <w:rFonts w:hint="eastAsia" w:cs="Times New Roman"/>
                      <w:color w:val="auto"/>
                      <w:kern w:val="2"/>
                      <w:sz w:val="21"/>
                      <w:szCs w:val="21"/>
                      <w:lang w:val="en-US" w:eastAsia="zh-CN" w:bidi="ar-SA"/>
                    </w:rPr>
                    <w:t>10</w:t>
                  </w:r>
                </w:p>
              </w:tc>
              <w:tc>
                <w:tcPr>
                  <w:tcW w:w="384" w:type="pct"/>
                  <w:tcBorders>
                    <w:tl2br w:val="nil"/>
                    <w:tr2bl w:val="nil"/>
                  </w:tcBorders>
                  <w:noWrap w:val="0"/>
                  <w:vAlign w:val="center"/>
                </w:tcPr>
                <w:p w14:paraId="79601F75">
                  <w:pPr>
                    <w:widowControl w:val="0"/>
                    <w:wordWrap/>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0.0</w:t>
                  </w:r>
                  <w:r>
                    <w:rPr>
                      <w:rFonts w:hint="eastAsia" w:cs="Times New Roman"/>
                      <w:color w:val="auto"/>
                      <w:kern w:val="2"/>
                      <w:sz w:val="21"/>
                      <w:szCs w:val="21"/>
                      <w:lang w:val="en-US" w:eastAsia="zh-CN" w:bidi="ar-SA"/>
                    </w:rPr>
                    <w:t>1</w:t>
                  </w:r>
                  <w:r>
                    <w:rPr>
                      <w:rFonts w:hint="eastAsia" w:ascii="Times New Roman" w:hAnsi="Times New Roman" w:eastAsia="宋体" w:cs="Times New Roman"/>
                      <w:color w:val="auto"/>
                      <w:kern w:val="2"/>
                      <w:sz w:val="21"/>
                      <w:szCs w:val="21"/>
                      <w:lang w:val="en-US" w:eastAsia="zh-CN" w:bidi="ar-SA"/>
                    </w:rPr>
                    <w:t>1</w:t>
                  </w:r>
                </w:p>
              </w:tc>
            </w:tr>
          </w:tbl>
          <w:p w14:paraId="09FDA129">
            <w:pPr>
              <w:ind w:firstLine="482"/>
              <w:rPr>
                <w:rFonts w:hint="eastAsia" w:ascii="Times New Roman" w:hAnsi="Times New Roman" w:eastAsia="宋体" w:cs="Times New Roman"/>
                <w:b/>
                <w:bCs/>
                <w:color w:val="auto"/>
                <w:kern w:val="0"/>
                <w:highlight w:val="none"/>
                <w:lang w:val="en-US" w:eastAsia="zh-CN"/>
              </w:rPr>
            </w:pPr>
            <w:r>
              <w:rPr>
                <w:rFonts w:hint="eastAsia" w:ascii="Times New Roman" w:hAnsi="Times New Roman" w:eastAsia="宋体" w:cs="Times New Roman"/>
                <w:b/>
                <w:bCs/>
                <w:color w:val="auto"/>
                <w:kern w:val="0"/>
                <w:highlight w:val="none"/>
                <w:lang w:val="en-US" w:eastAsia="zh-CN"/>
              </w:rPr>
              <w:t>4.</w:t>
            </w:r>
            <w:r>
              <w:rPr>
                <w:rFonts w:hint="eastAsia" w:cs="Times New Roman"/>
                <w:b/>
                <w:bCs/>
                <w:color w:val="auto"/>
                <w:kern w:val="0"/>
                <w:highlight w:val="none"/>
                <w:lang w:val="en-US" w:eastAsia="zh-CN"/>
              </w:rPr>
              <w:t>2</w:t>
            </w:r>
            <w:r>
              <w:rPr>
                <w:rFonts w:hint="eastAsia" w:ascii="Times New Roman" w:hAnsi="Times New Roman" w:eastAsia="宋体" w:cs="Times New Roman"/>
                <w:b/>
                <w:bCs/>
                <w:color w:val="auto"/>
                <w:kern w:val="0"/>
                <w:highlight w:val="none"/>
                <w:lang w:val="en-US" w:eastAsia="zh-CN"/>
              </w:rPr>
              <w:t>.</w:t>
            </w:r>
            <w:r>
              <w:rPr>
                <w:rFonts w:hint="eastAsia" w:cs="Times New Roman"/>
                <w:b/>
                <w:bCs/>
                <w:color w:val="auto"/>
                <w:kern w:val="0"/>
                <w:highlight w:val="none"/>
                <w:lang w:val="en-US" w:eastAsia="zh-CN"/>
              </w:rPr>
              <w:t>2</w:t>
            </w:r>
            <w:r>
              <w:rPr>
                <w:rFonts w:hint="eastAsia" w:ascii="Times New Roman" w:hAnsi="Times New Roman" w:eastAsia="宋体" w:cs="Times New Roman"/>
                <w:b/>
                <w:bCs/>
                <w:color w:val="auto"/>
                <w:kern w:val="0"/>
                <w:highlight w:val="none"/>
                <w:lang w:val="en-US" w:eastAsia="zh-CN"/>
              </w:rPr>
              <w:t>废气治理措施可行性分析</w:t>
            </w:r>
          </w:p>
          <w:p w14:paraId="7846471E">
            <w:pPr>
              <w:ind w:firstLine="482"/>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运营期废气主要为发酵车间产生的少量有机废气（主要成分是乙醇，以非甲烷总烃表征）</w:t>
            </w:r>
            <w:r>
              <w:rPr>
                <w:rFonts w:hint="eastAsia" w:cs="Times New Roman"/>
                <w:color w:val="auto"/>
                <w:sz w:val="24"/>
                <w:highlight w:val="none"/>
                <w:lang w:val="en-US" w:eastAsia="zh-CN"/>
              </w:rPr>
              <w:t>、脱醇废气</w:t>
            </w:r>
            <w:r>
              <w:rPr>
                <w:rFonts w:hint="eastAsia" w:ascii="Times New Roman" w:hAnsi="Times New Roman" w:eastAsia="宋体" w:cs="Times New Roman"/>
                <w:color w:val="auto"/>
                <w:sz w:val="24"/>
                <w:highlight w:val="none"/>
                <w:lang w:val="en-US" w:eastAsia="zh-CN"/>
              </w:rPr>
              <w:t>及过滤残渣堆存过程产生的异味（</w:t>
            </w:r>
            <w:r>
              <w:rPr>
                <w:rFonts w:hint="default" w:ascii="Times New Roman" w:hAnsi="Times New Roman" w:eastAsia="宋体" w:cs="Times New Roman"/>
                <w:color w:val="auto"/>
                <w:sz w:val="24"/>
                <w:highlight w:val="none"/>
                <w:lang w:val="en-US" w:eastAsia="zh-CN"/>
              </w:rPr>
              <w:t>臭气浓度</w:t>
            </w:r>
            <w:r>
              <w:rPr>
                <w:rFonts w:hint="eastAsia" w:eastAsia="宋体" w:cs="Times New Roman"/>
                <w:color w:val="auto"/>
                <w:sz w:val="24"/>
                <w:highlight w:val="none"/>
                <w:lang w:val="en-US" w:eastAsia="zh-CN"/>
              </w:rPr>
              <w:t>、硫化氢、氨气</w:t>
            </w:r>
            <w:r>
              <w:rPr>
                <w:rFonts w:hint="eastAsia" w:ascii="Times New Roman" w:hAnsi="Times New Roman" w:eastAsia="宋体" w:cs="Times New Roman"/>
                <w:color w:val="auto"/>
                <w:sz w:val="24"/>
                <w:highlight w:val="none"/>
                <w:lang w:val="en-US" w:eastAsia="zh-CN"/>
              </w:rPr>
              <w:t>）。</w:t>
            </w:r>
          </w:p>
          <w:p w14:paraId="497AFAC4">
            <w:pPr>
              <w:ind w:firstLine="482"/>
              <w:rPr>
                <w:rFonts w:hint="eastAsia"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其中脱醇废气经</w:t>
            </w:r>
            <w:r>
              <w:rPr>
                <w:rFonts w:hint="eastAsia" w:ascii="Times New Roman" w:hAnsi="Times New Roman" w:eastAsia="宋体" w:cs="Times New Roman"/>
                <w:b w:val="0"/>
                <w:bCs w:val="0"/>
                <w:color w:val="auto"/>
                <w:sz w:val="24"/>
                <w:highlight w:val="none"/>
                <w:lang w:val="en-US" w:eastAsia="zh-CN"/>
              </w:rPr>
              <w:t>设备自带内置冷凝回收装置</w:t>
            </w:r>
            <w:r>
              <w:rPr>
                <w:rFonts w:hint="eastAsia" w:cs="Times New Roman"/>
                <w:b w:val="0"/>
                <w:bCs w:val="0"/>
                <w:color w:val="auto"/>
                <w:sz w:val="24"/>
                <w:highlight w:val="none"/>
                <w:lang w:val="en-US" w:eastAsia="zh-CN"/>
              </w:rPr>
              <w:t>处理后</w:t>
            </w:r>
            <w:r>
              <w:rPr>
                <w:rFonts w:hint="eastAsia" w:ascii="Times New Roman" w:hAnsi="Times New Roman" w:eastAsia="宋体" w:cs="Times New Roman"/>
                <w:color w:val="auto"/>
                <w:sz w:val="24"/>
                <w:highlight w:val="none"/>
                <w:lang w:val="en-US" w:eastAsia="zh-CN"/>
              </w:rPr>
              <w:t>无组织排放，经核算，脱醇废气产生量</w:t>
            </w:r>
            <w:r>
              <w:rPr>
                <w:rFonts w:hint="eastAsia" w:ascii="Times New Roman" w:hAnsi="Times New Roman" w:eastAsia="宋体" w:cs="Times New Roman"/>
                <w:b w:val="0"/>
                <w:bCs w:val="0"/>
                <w:color w:val="auto"/>
                <w:sz w:val="24"/>
                <w:highlight w:val="none"/>
                <w:lang w:val="en-US" w:eastAsia="zh-CN"/>
              </w:rPr>
              <w:t>为0.0</w:t>
            </w:r>
            <w:r>
              <w:rPr>
                <w:rFonts w:hint="eastAsia" w:cs="Times New Roman"/>
                <w:b w:val="0"/>
                <w:bCs w:val="0"/>
                <w:color w:val="auto"/>
                <w:sz w:val="24"/>
                <w:highlight w:val="none"/>
                <w:lang w:val="en-US" w:eastAsia="zh-CN"/>
              </w:rPr>
              <w:t>99</w:t>
            </w:r>
            <w:r>
              <w:rPr>
                <w:rFonts w:hint="eastAsia" w:ascii="Times New Roman" w:hAnsi="Times New Roman" w:eastAsia="宋体" w:cs="Times New Roman"/>
                <w:b w:val="0"/>
                <w:bCs w:val="0"/>
                <w:color w:val="auto"/>
                <w:sz w:val="24"/>
                <w:highlight w:val="none"/>
                <w:lang w:val="en-US" w:eastAsia="zh-CN"/>
              </w:rPr>
              <w:t>t/a，产生速率为0.</w:t>
            </w:r>
            <w:r>
              <w:rPr>
                <w:rFonts w:hint="eastAsia" w:cs="Times New Roman"/>
                <w:b w:val="0"/>
                <w:bCs w:val="0"/>
                <w:color w:val="auto"/>
                <w:sz w:val="24"/>
                <w:highlight w:val="none"/>
                <w:lang w:val="en-US" w:eastAsia="zh-CN"/>
              </w:rPr>
              <w:t>113</w:t>
            </w:r>
            <w:r>
              <w:rPr>
                <w:rFonts w:hint="eastAsia" w:ascii="Times New Roman" w:hAnsi="Times New Roman" w:eastAsia="宋体" w:cs="Times New Roman"/>
                <w:b w:val="0"/>
                <w:bCs w:val="0"/>
                <w:color w:val="auto"/>
                <w:sz w:val="24"/>
                <w:highlight w:val="none"/>
                <w:lang w:val="en-US" w:eastAsia="zh-CN"/>
              </w:rPr>
              <w:t>kg/h，根</w:t>
            </w:r>
            <w:r>
              <w:rPr>
                <w:rFonts w:hint="eastAsia" w:ascii="Times New Roman" w:hAnsi="Times New Roman" w:eastAsia="宋体" w:cs="Times New Roman"/>
                <w:color w:val="auto"/>
                <w:sz w:val="24"/>
                <w:highlight w:val="none"/>
                <w:lang w:val="en-US" w:eastAsia="zh-CN"/>
              </w:rPr>
              <w:t>据</w:t>
            </w:r>
            <w:r>
              <w:rPr>
                <w:color w:val="auto"/>
                <w:lang w:val="zh-CN"/>
              </w:rPr>
              <w:t>《挥发性有机物无组织排放控制标准》（GB 37822-2019）</w:t>
            </w:r>
            <w:r>
              <w:rPr>
                <w:rFonts w:hint="eastAsia"/>
                <w:color w:val="auto"/>
                <w:lang w:val="zh-CN"/>
              </w:rPr>
              <w:t>“</w:t>
            </w:r>
            <w:r>
              <w:rPr>
                <w:color w:val="auto"/>
                <w:lang w:val="zh-CN"/>
              </w:rPr>
              <w:t>收集的废气中NMHC初始排放速率≥3kg/h时，应配置VOCs处理设施，处理效率不应低于80%；对于重点地区，收集的废气中NMHC初始排放速率≥2kg/h时，应配置VOCs处理设施，处理效率不应低于80%</w:t>
            </w:r>
            <w:r>
              <w:rPr>
                <w:rFonts w:hint="eastAsia"/>
                <w:color w:val="auto"/>
                <w:lang w:val="zh-CN"/>
              </w:rPr>
              <w:t>”，本项目脱醇废气</w:t>
            </w:r>
            <w:r>
              <w:rPr>
                <w:rFonts w:hint="eastAsia" w:ascii="Times New Roman" w:hAnsi="Times New Roman" w:eastAsia="宋体" w:cs="Times New Roman"/>
                <w:b w:val="0"/>
                <w:bCs w:val="0"/>
                <w:color w:val="auto"/>
                <w:sz w:val="24"/>
                <w:highlight w:val="none"/>
                <w:lang w:val="en-US" w:eastAsia="zh-CN"/>
              </w:rPr>
              <w:t>产生量为0.</w:t>
            </w:r>
            <w:r>
              <w:rPr>
                <w:rFonts w:hint="eastAsia" w:eastAsia="宋体" w:cs="Times New Roman"/>
                <w:b w:val="0"/>
                <w:bCs w:val="0"/>
                <w:color w:val="auto"/>
                <w:sz w:val="24"/>
                <w:highlight w:val="none"/>
                <w:lang w:val="en-US" w:eastAsia="zh-CN"/>
              </w:rPr>
              <w:t>0</w:t>
            </w:r>
            <w:r>
              <w:rPr>
                <w:rFonts w:hint="eastAsia" w:cs="Times New Roman"/>
                <w:b w:val="0"/>
                <w:bCs w:val="0"/>
                <w:color w:val="auto"/>
                <w:sz w:val="24"/>
                <w:highlight w:val="none"/>
                <w:lang w:val="en-US" w:eastAsia="zh-CN"/>
              </w:rPr>
              <w:t>99</w:t>
            </w:r>
            <w:r>
              <w:rPr>
                <w:rFonts w:hint="eastAsia" w:ascii="Times New Roman" w:hAnsi="Times New Roman" w:eastAsia="宋体" w:cs="Times New Roman"/>
                <w:b w:val="0"/>
                <w:bCs w:val="0"/>
                <w:color w:val="auto"/>
                <w:sz w:val="24"/>
                <w:highlight w:val="none"/>
                <w:lang w:val="en-US" w:eastAsia="zh-CN"/>
              </w:rPr>
              <w:t>/a，</w:t>
            </w:r>
            <w:r>
              <w:rPr>
                <w:rFonts w:hint="eastAsia" w:cs="Times New Roman"/>
                <w:b w:val="0"/>
                <w:bCs w:val="0"/>
                <w:color w:val="auto"/>
                <w:sz w:val="24"/>
                <w:highlight w:val="none"/>
                <w:lang w:val="en-US" w:eastAsia="zh-CN"/>
              </w:rPr>
              <w:t>产生速率</w:t>
            </w:r>
            <w:r>
              <w:rPr>
                <w:rFonts w:hint="eastAsia" w:ascii="Times New Roman" w:hAnsi="Times New Roman" w:eastAsia="宋体" w:cs="Times New Roman"/>
                <w:b w:val="0"/>
                <w:bCs w:val="0"/>
                <w:color w:val="auto"/>
                <w:sz w:val="24"/>
                <w:highlight w:val="none"/>
                <w:lang w:val="en-US" w:eastAsia="zh-CN"/>
              </w:rPr>
              <w:t>0</w:t>
            </w:r>
            <w:r>
              <w:rPr>
                <w:rFonts w:hint="eastAsia" w:eastAsia="宋体" w:cs="Times New Roman"/>
                <w:b w:val="0"/>
                <w:bCs w:val="0"/>
                <w:color w:val="auto"/>
                <w:sz w:val="24"/>
                <w:highlight w:val="none"/>
                <w:lang w:val="en-US" w:eastAsia="zh-CN"/>
              </w:rPr>
              <w:t>.</w:t>
            </w:r>
            <w:r>
              <w:rPr>
                <w:rFonts w:hint="eastAsia" w:cs="Times New Roman"/>
                <w:b w:val="0"/>
                <w:bCs w:val="0"/>
                <w:color w:val="auto"/>
                <w:sz w:val="24"/>
                <w:highlight w:val="none"/>
                <w:lang w:val="en-US" w:eastAsia="zh-CN"/>
              </w:rPr>
              <w:t>113</w:t>
            </w:r>
            <w:r>
              <w:rPr>
                <w:rFonts w:hint="eastAsia" w:ascii="Times New Roman" w:hAnsi="Times New Roman" w:eastAsia="宋体" w:cs="Times New Roman"/>
                <w:b w:val="0"/>
                <w:bCs w:val="0"/>
                <w:color w:val="auto"/>
                <w:sz w:val="24"/>
                <w:highlight w:val="none"/>
                <w:lang w:val="en-US" w:eastAsia="zh-CN"/>
              </w:rPr>
              <w:t>kg/</w:t>
            </w:r>
            <w:r>
              <w:rPr>
                <w:rFonts w:hint="eastAsia" w:cs="Times New Roman"/>
                <w:b w:val="0"/>
                <w:bCs w:val="0"/>
                <w:color w:val="auto"/>
                <w:sz w:val="24"/>
                <w:highlight w:val="none"/>
                <w:lang w:val="en-US" w:eastAsia="zh-CN"/>
              </w:rPr>
              <w:t>h</w:t>
            </w:r>
            <w:r>
              <w:rPr>
                <w:rFonts w:hint="eastAsia"/>
                <w:color w:val="auto"/>
                <w:lang w:val="zh-CN" w:eastAsia="zh-CN"/>
              </w:rPr>
              <w:t>，</w:t>
            </w:r>
            <w:r>
              <w:rPr>
                <w:rFonts w:hint="eastAsia" w:cs="Times New Roman"/>
                <w:color w:val="auto"/>
                <w:sz w:val="24"/>
                <w:highlight w:val="none"/>
                <w:lang w:val="en-US" w:eastAsia="zh-CN"/>
              </w:rPr>
              <w:t>脱醇废气经</w:t>
            </w:r>
            <w:r>
              <w:rPr>
                <w:rFonts w:hint="eastAsia" w:ascii="Times New Roman" w:hAnsi="Times New Roman" w:eastAsia="宋体" w:cs="Times New Roman"/>
                <w:b w:val="0"/>
                <w:bCs w:val="0"/>
                <w:color w:val="auto"/>
                <w:sz w:val="24"/>
                <w:highlight w:val="none"/>
                <w:lang w:val="en-US" w:eastAsia="zh-CN"/>
              </w:rPr>
              <w:t>设备自带内置冷凝回收装置</w:t>
            </w:r>
            <w:r>
              <w:rPr>
                <w:rFonts w:hint="eastAsia" w:cs="Times New Roman"/>
                <w:b w:val="0"/>
                <w:bCs w:val="0"/>
                <w:color w:val="auto"/>
                <w:sz w:val="24"/>
                <w:highlight w:val="none"/>
                <w:lang w:val="en-US" w:eastAsia="zh-CN"/>
              </w:rPr>
              <w:t>处理后，排放</w:t>
            </w:r>
            <w:r>
              <w:rPr>
                <w:rFonts w:hint="eastAsia" w:ascii="Times New Roman" w:hAnsi="Times New Roman" w:eastAsia="宋体" w:cs="Times New Roman"/>
                <w:b w:val="0"/>
                <w:bCs w:val="0"/>
                <w:color w:val="auto"/>
                <w:sz w:val="24"/>
                <w:highlight w:val="none"/>
                <w:lang w:val="en-US" w:eastAsia="zh-CN"/>
              </w:rPr>
              <w:t>量为0.</w:t>
            </w:r>
            <w:r>
              <w:rPr>
                <w:rFonts w:hint="eastAsia" w:eastAsia="宋体" w:cs="Times New Roman"/>
                <w:b w:val="0"/>
                <w:bCs w:val="0"/>
                <w:color w:val="auto"/>
                <w:sz w:val="24"/>
                <w:highlight w:val="none"/>
                <w:lang w:val="en-US" w:eastAsia="zh-CN"/>
              </w:rPr>
              <w:t>0</w:t>
            </w:r>
            <w:r>
              <w:rPr>
                <w:rFonts w:hint="eastAsia" w:cs="Times New Roman"/>
                <w:b w:val="0"/>
                <w:bCs w:val="0"/>
                <w:color w:val="auto"/>
                <w:sz w:val="24"/>
                <w:highlight w:val="none"/>
                <w:lang w:val="en-US" w:eastAsia="zh-CN"/>
              </w:rPr>
              <w:t>10</w:t>
            </w:r>
            <w:r>
              <w:rPr>
                <w:rFonts w:hint="eastAsia" w:ascii="Times New Roman" w:hAnsi="Times New Roman" w:eastAsia="宋体" w:cs="Times New Roman"/>
                <w:b w:val="0"/>
                <w:bCs w:val="0"/>
                <w:color w:val="auto"/>
                <w:sz w:val="24"/>
                <w:highlight w:val="none"/>
                <w:lang w:val="en-US" w:eastAsia="zh-CN"/>
              </w:rPr>
              <w:t>t/a，</w:t>
            </w:r>
            <w:r>
              <w:rPr>
                <w:rFonts w:hint="eastAsia" w:cs="Times New Roman"/>
                <w:b w:val="0"/>
                <w:bCs w:val="0"/>
                <w:color w:val="auto"/>
                <w:sz w:val="24"/>
                <w:highlight w:val="none"/>
                <w:lang w:val="en-US" w:eastAsia="zh-CN"/>
              </w:rPr>
              <w:t>排放速率为</w:t>
            </w:r>
            <w:r>
              <w:rPr>
                <w:rFonts w:hint="eastAsia" w:ascii="Times New Roman" w:hAnsi="Times New Roman" w:eastAsia="宋体" w:cs="Times New Roman"/>
                <w:b w:val="0"/>
                <w:bCs w:val="0"/>
                <w:color w:val="auto"/>
                <w:sz w:val="24"/>
                <w:highlight w:val="none"/>
                <w:lang w:val="en-US" w:eastAsia="zh-CN"/>
              </w:rPr>
              <w:t>0</w:t>
            </w:r>
            <w:r>
              <w:rPr>
                <w:rFonts w:hint="eastAsia" w:eastAsia="宋体" w:cs="Times New Roman"/>
                <w:b w:val="0"/>
                <w:bCs w:val="0"/>
                <w:color w:val="auto"/>
                <w:sz w:val="24"/>
                <w:highlight w:val="none"/>
                <w:lang w:val="en-US" w:eastAsia="zh-CN"/>
              </w:rPr>
              <w:t>.</w:t>
            </w:r>
            <w:r>
              <w:rPr>
                <w:rFonts w:hint="eastAsia" w:cs="Times New Roman"/>
                <w:b w:val="0"/>
                <w:bCs w:val="0"/>
                <w:color w:val="auto"/>
                <w:sz w:val="24"/>
                <w:highlight w:val="none"/>
                <w:lang w:val="en-US" w:eastAsia="zh-CN"/>
              </w:rPr>
              <w:t>011</w:t>
            </w:r>
            <w:r>
              <w:rPr>
                <w:rFonts w:hint="eastAsia" w:ascii="Times New Roman" w:hAnsi="Times New Roman" w:eastAsia="宋体" w:cs="Times New Roman"/>
                <w:b w:val="0"/>
                <w:bCs w:val="0"/>
                <w:color w:val="auto"/>
                <w:sz w:val="24"/>
                <w:highlight w:val="none"/>
                <w:lang w:val="en-US" w:eastAsia="zh-CN"/>
              </w:rPr>
              <w:t>kg/</w:t>
            </w:r>
            <w:r>
              <w:rPr>
                <w:rFonts w:hint="eastAsia" w:cs="Times New Roman"/>
                <w:b w:val="0"/>
                <w:bCs w:val="0"/>
                <w:color w:val="auto"/>
                <w:sz w:val="24"/>
                <w:highlight w:val="none"/>
                <w:lang w:val="en-US" w:eastAsia="zh-CN"/>
              </w:rPr>
              <w:t>h，可通过车间通风换气无组织排放，治理措施可行</w:t>
            </w:r>
            <w:r>
              <w:rPr>
                <w:rFonts w:hint="eastAsia" w:ascii="Times New Roman" w:hAnsi="Times New Roman" w:eastAsia="宋体" w:cs="Times New Roman"/>
                <w:color w:val="auto"/>
                <w:sz w:val="24"/>
                <w:highlight w:val="none"/>
                <w:lang w:val="en-US" w:eastAsia="zh-CN"/>
              </w:rPr>
              <w:t>。</w:t>
            </w:r>
          </w:p>
          <w:p w14:paraId="06B1127B">
            <w:pPr>
              <w:ind w:firstLine="482"/>
              <w:rPr>
                <w:rFonts w:hint="eastAsia" w:ascii="Times New Roman" w:hAnsi="Times New Roman" w:eastAsia="宋体" w:cs="Times New Roman"/>
                <w:color w:val="FF0000"/>
                <w:sz w:val="24"/>
                <w:highlight w:val="none"/>
                <w:lang w:val="en-US" w:eastAsia="zh-CN"/>
              </w:rPr>
            </w:pPr>
            <w:r>
              <w:rPr>
                <w:rFonts w:hint="eastAsia" w:cs="Times New Roman"/>
                <w:b w:val="0"/>
                <w:bCs w:val="0"/>
                <w:color w:val="FF0000"/>
                <w:sz w:val="24"/>
                <w:lang w:val="en-US" w:eastAsia="zh-CN"/>
              </w:rPr>
              <w:t>发酵废气</w:t>
            </w:r>
            <w:r>
              <w:rPr>
                <w:rFonts w:hint="eastAsia" w:ascii="Times New Roman" w:hAnsi="Times New Roman" w:eastAsia="宋体" w:cs="Times New Roman"/>
                <w:b w:val="0"/>
                <w:bCs w:val="0"/>
                <w:color w:val="FF0000"/>
                <w:sz w:val="24"/>
                <w:lang w:val="en-US" w:eastAsia="zh-CN"/>
              </w:rPr>
              <w:t>非甲烷总烃的</w:t>
            </w:r>
            <w:r>
              <w:rPr>
                <w:rFonts w:hint="eastAsia" w:cs="Times New Roman"/>
                <w:b w:val="0"/>
                <w:bCs w:val="0"/>
                <w:color w:val="FF0000"/>
                <w:sz w:val="24"/>
                <w:lang w:val="en-US" w:eastAsia="zh-CN"/>
              </w:rPr>
              <w:t>产生</w:t>
            </w:r>
            <w:r>
              <w:rPr>
                <w:rFonts w:hint="eastAsia" w:ascii="Times New Roman" w:hAnsi="Times New Roman" w:eastAsia="宋体" w:cs="Times New Roman"/>
                <w:b w:val="0"/>
                <w:bCs w:val="0"/>
                <w:color w:val="FF0000"/>
                <w:sz w:val="24"/>
                <w:lang w:val="en-US" w:eastAsia="zh-CN"/>
              </w:rPr>
              <w:t>量为0.</w:t>
            </w:r>
            <w:r>
              <w:rPr>
                <w:rFonts w:hint="eastAsia" w:eastAsia="宋体" w:cs="Times New Roman"/>
                <w:b w:val="0"/>
                <w:bCs w:val="0"/>
                <w:color w:val="FF0000"/>
                <w:sz w:val="24"/>
                <w:lang w:val="en-US" w:eastAsia="zh-CN"/>
              </w:rPr>
              <w:t>095</w:t>
            </w:r>
            <w:r>
              <w:rPr>
                <w:rFonts w:hint="eastAsia" w:ascii="Times New Roman" w:hAnsi="Times New Roman" w:eastAsia="宋体" w:cs="Times New Roman"/>
                <w:b w:val="0"/>
                <w:bCs w:val="0"/>
                <w:color w:val="FF0000"/>
                <w:sz w:val="24"/>
                <w:lang w:val="en-US" w:eastAsia="zh-CN"/>
              </w:rPr>
              <w:t>t/a，</w:t>
            </w:r>
            <w:r>
              <w:rPr>
                <w:rFonts w:hint="eastAsia" w:cs="Times New Roman"/>
                <w:b w:val="0"/>
                <w:bCs w:val="0"/>
                <w:color w:val="FF0000"/>
                <w:sz w:val="24"/>
                <w:lang w:val="en-US" w:eastAsia="zh-CN"/>
              </w:rPr>
              <w:t>产生速率为</w:t>
            </w:r>
            <w:r>
              <w:rPr>
                <w:rFonts w:hint="eastAsia" w:ascii="Times New Roman" w:hAnsi="Times New Roman" w:eastAsia="宋体" w:cs="Times New Roman"/>
                <w:b w:val="0"/>
                <w:bCs w:val="0"/>
                <w:color w:val="FF0000"/>
                <w:sz w:val="24"/>
                <w:lang w:val="en-US" w:eastAsia="zh-CN"/>
              </w:rPr>
              <w:t>0</w:t>
            </w:r>
            <w:r>
              <w:rPr>
                <w:rFonts w:hint="eastAsia" w:eastAsia="宋体" w:cs="Times New Roman"/>
                <w:b w:val="0"/>
                <w:bCs w:val="0"/>
                <w:color w:val="FF0000"/>
                <w:sz w:val="24"/>
                <w:lang w:val="en-US" w:eastAsia="zh-CN"/>
              </w:rPr>
              <w:t>.</w:t>
            </w:r>
            <w:r>
              <w:rPr>
                <w:rFonts w:hint="eastAsia" w:cs="Times New Roman"/>
                <w:b w:val="0"/>
                <w:bCs w:val="0"/>
                <w:color w:val="FF0000"/>
                <w:sz w:val="24"/>
                <w:lang w:val="en-US" w:eastAsia="zh-CN"/>
              </w:rPr>
              <w:t>036</w:t>
            </w:r>
            <w:r>
              <w:rPr>
                <w:rFonts w:hint="eastAsia" w:ascii="Times New Roman" w:hAnsi="Times New Roman" w:eastAsia="宋体" w:cs="Times New Roman"/>
                <w:b w:val="0"/>
                <w:bCs w:val="0"/>
                <w:color w:val="FF0000"/>
                <w:sz w:val="24"/>
                <w:lang w:val="en-US" w:eastAsia="zh-CN"/>
              </w:rPr>
              <w:t>kg/</w:t>
            </w:r>
            <w:r>
              <w:rPr>
                <w:rFonts w:hint="eastAsia" w:cs="Times New Roman"/>
                <w:b w:val="0"/>
                <w:bCs w:val="0"/>
                <w:color w:val="FF0000"/>
                <w:sz w:val="24"/>
                <w:lang w:val="en-US" w:eastAsia="zh-CN"/>
              </w:rPr>
              <w:t>h</w:t>
            </w:r>
            <w:r>
              <w:rPr>
                <w:rFonts w:hint="eastAsia" w:ascii="Times New Roman" w:hAnsi="Times New Roman" w:eastAsia="宋体" w:cs="Times New Roman"/>
                <w:b w:val="0"/>
                <w:bCs w:val="0"/>
                <w:color w:val="FF0000"/>
                <w:sz w:val="24"/>
                <w:lang w:val="en-US" w:eastAsia="zh-CN"/>
              </w:rPr>
              <w:t>，产生量极少，</w:t>
            </w:r>
            <w:r>
              <w:rPr>
                <w:rFonts w:hint="eastAsia" w:eastAsia="宋体" w:cs="Times New Roman"/>
                <w:b w:val="0"/>
                <w:bCs w:val="0"/>
                <w:color w:val="FF0000"/>
                <w:sz w:val="24"/>
                <w:lang w:val="en-US" w:eastAsia="zh-CN"/>
              </w:rPr>
              <w:t>过滤</w:t>
            </w:r>
            <w:r>
              <w:rPr>
                <w:rFonts w:hint="eastAsia" w:ascii="Times New Roman" w:hAnsi="Times New Roman" w:eastAsia="宋体" w:cs="Times New Roman"/>
                <w:b w:val="0"/>
                <w:bCs w:val="0"/>
                <w:color w:val="FF0000"/>
                <w:sz w:val="24"/>
                <w:lang w:val="en-US" w:eastAsia="zh-CN"/>
              </w:rPr>
              <w:t>残渣固废装入塑料桶后，即时封盖，</w:t>
            </w:r>
            <w:r>
              <w:rPr>
                <w:rFonts w:hint="eastAsia" w:cs="Times New Roman"/>
                <w:b w:val="0"/>
                <w:bCs w:val="0"/>
                <w:color w:val="FF0000"/>
                <w:sz w:val="24"/>
                <w:lang w:val="en-US" w:eastAsia="zh-CN"/>
              </w:rPr>
              <w:t>过滤</w:t>
            </w:r>
            <w:r>
              <w:rPr>
                <w:rFonts w:hint="eastAsia" w:ascii="Times New Roman" w:hAnsi="Times New Roman" w:eastAsia="宋体" w:cs="Times New Roman"/>
                <w:b w:val="0"/>
                <w:bCs w:val="0"/>
                <w:color w:val="FF0000"/>
                <w:sz w:val="24"/>
                <w:lang w:val="en-US" w:eastAsia="zh-CN"/>
              </w:rPr>
              <w:t>残渣收集后外售给养殖场作为饲料，日产日清，不在车间内堆存，产生量较少</w:t>
            </w:r>
            <w:r>
              <w:rPr>
                <w:rFonts w:hint="eastAsia" w:eastAsia="宋体" w:cs="Times New Roman"/>
                <w:b w:val="0"/>
                <w:bCs w:val="0"/>
                <w:color w:val="FF0000"/>
                <w:sz w:val="24"/>
                <w:highlight w:val="none"/>
                <w:lang w:val="en-US" w:eastAsia="zh-CN"/>
              </w:rPr>
              <w:t>。</w:t>
            </w:r>
            <w:r>
              <w:rPr>
                <w:rFonts w:hint="eastAsia" w:cs="Times New Roman"/>
                <w:b w:val="0"/>
                <w:bCs w:val="0"/>
                <w:color w:val="FF0000"/>
                <w:sz w:val="24"/>
                <w:highlight w:val="none"/>
                <w:lang w:val="en-US" w:eastAsia="zh-CN"/>
              </w:rPr>
              <w:t>因此，</w:t>
            </w:r>
            <w:r>
              <w:rPr>
                <w:rFonts w:hint="eastAsia" w:ascii="Times New Roman" w:hAnsi="Times New Roman" w:eastAsia="宋体" w:cs="Times New Roman"/>
                <w:b w:val="0"/>
                <w:bCs w:val="0"/>
                <w:color w:val="FF0000"/>
                <w:sz w:val="24"/>
                <w:lang w:val="en-US" w:eastAsia="zh-CN"/>
              </w:rPr>
              <w:t>项目</w:t>
            </w:r>
            <w:r>
              <w:rPr>
                <w:rFonts w:hint="eastAsia" w:cs="Times New Roman"/>
                <w:b w:val="0"/>
                <w:bCs w:val="0"/>
                <w:color w:val="FF0000"/>
                <w:sz w:val="24"/>
                <w:lang w:val="en-US" w:eastAsia="zh-CN"/>
              </w:rPr>
              <w:t>无组织废气采用</w:t>
            </w:r>
            <w:r>
              <w:rPr>
                <w:rFonts w:hint="eastAsia" w:ascii="Times New Roman" w:hAnsi="Times New Roman" w:eastAsia="宋体" w:cs="Times New Roman"/>
                <w:b w:val="0"/>
                <w:bCs w:val="0"/>
                <w:color w:val="FF0000"/>
                <w:sz w:val="24"/>
                <w:lang w:val="en-US" w:eastAsia="zh-CN"/>
              </w:rPr>
              <w:t>车间整体密闭，车间内设置机械排风设施，经车间通风换气后无组织排放</w:t>
            </w:r>
            <w:r>
              <w:rPr>
                <w:rFonts w:hint="eastAsia" w:cs="Times New Roman"/>
                <w:b w:val="0"/>
                <w:bCs w:val="0"/>
                <w:color w:val="FF0000"/>
                <w:sz w:val="24"/>
                <w:lang w:val="en-US" w:eastAsia="zh-CN"/>
              </w:rPr>
              <w:t>的措施可行</w:t>
            </w:r>
            <w:r>
              <w:rPr>
                <w:rFonts w:hint="eastAsia" w:ascii="Times New Roman" w:hAnsi="Times New Roman" w:eastAsia="宋体" w:cs="Times New Roman"/>
                <w:b w:val="0"/>
                <w:bCs w:val="0"/>
                <w:color w:val="FF0000"/>
                <w:sz w:val="24"/>
                <w:lang w:val="en-US" w:eastAsia="zh-CN"/>
              </w:rPr>
              <w:t>。</w:t>
            </w:r>
          </w:p>
          <w:p w14:paraId="77157EB1">
            <w:pPr>
              <w:ind w:firstLine="482"/>
              <w:rPr>
                <w:rFonts w:hint="eastAsia" w:ascii="Times New Roman" w:hAnsi="Times New Roman" w:eastAsia="宋体" w:cs="Times New Roman"/>
                <w:b/>
                <w:bCs/>
                <w:color w:val="auto"/>
                <w:kern w:val="0"/>
                <w:highlight w:val="none"/>
                <w:lang w:val="en-US" w:eastAsia="zh-CN"/>
              </w:rPr>
            </w:pPr>
            <w:r>
              <w:rPr>
                <w:rFonts w:hint="eastAsia" w:ascii="Times New Roman" w:hAnsi="Times New Roman" w:eastAsia="宋体" w:cs="Times New Roman"/>
                <w:b/>
                <w:bCs/>
                <w:color w:val="auto"/>
                <w:kern w:val="0"/>
                <w:highlight w:val="none"/>
                <w:lang w:val="en-US" w:eastAsia="zh-CN"/>
              </w:rPr>
              <w:t>4.</w:t>
            </w:r>
            <w:r>
              <w:rPr>
                <w:rFonts w:hint="eastAsia" w:cs="Times New Roman"/>
                <w:b/>
                <w:bCs/>
                <w:color w:val="auto"/>
                <w:kern w:val="0"/>
                <w:highlight w:val="none"/>
                <w:lang w:val="en-US" w:eastAsia="zh-CN"/>
              </w:rPr>
              <w:t>2</w:t>
            </w:r>
            <w:r>
              <w:rPr>
                <w:rFonts w:hint="eastAsia" w:ascii="Times New Roman" w:hAnsi="Times New Roman" w:eastAsia="宋体" w:cs="Times New Roman"/>
                <w:b/>
                <w:bCs/>
                <w:color w:val="auto"/>
                <w:kern w:val="0"/>
                <w:highlight w:val="none"/>
                <w:lang w:val="en-US" w:eastAsia="zh-CN"/>
              </w:rPr>
              <w:t>.</w:t>
            </w:r>
            <w:r>
              <w:rPr>
                <w:rFonts w:hint="eastAsia" w:cs="Times New Roman"/>
                <w:b/>
                <w:bCs/>
                <w:color w:val="auto"/>
                <w:kern w:val="0"/>
                <w:highlight w:val="none"/>
                <w:lang w:val="en-US" w:eastAsia="zh-CN"/>
              </w:rPr>
              <w:t>3</w:t>
            </w:r>
            <w:r>
              <w:rPr>
                <w:rFonts w:hint="eastAsia" w:ascii="Times New Roman" w:hAnsi="Times New Roman" w:eastAsia="宋体" w:cs="Times New Roman"/>
                <w:b/>
                <w:bCs/>
                <w:color w:val="auto"/>
                <w:kern w:val="0"/>
                <w:highlight w:val="none"/>
                <w:lang w:val="en-US" w:eastAsia="zh-CN"/>
              </w:rPr>
              <w:t>废气达标排放及影响分析</w:t>
            </w:r>
          </w:p>
          <w:p w14:paraId="0BD1EAB4">
            <w:pPr>
              <w:pStyle w:val="11"/>
              <w:adjustRightInd w:val="0"/>
              <w:spacing w:before="0" w:beforeLines="0" w:after="0" w:afterLines="0"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color w:val="auto"/>
                <w:sz w:val="24"/>
                <w:highlight w:val="none"/>
                <w:lang w:val="en-US" w:eastAsia="zh-CN"/>
              </w:rPr>
              <w:t>运营期废气主要为发酵车间产生的少量有机废气（主要成分是乙醇，以非甲烷总烃表征）</w:t>
            </w:r>
            <w:r>
              <w:rPr>
                <w:rFonts w:hint="eastAsia" w:cs="Times New Roman"/>
                <w:color w:val="auto"/>
                <w:sz w:val="24"/>
                <w:highlight w:val="none"/>
                <w:lang w:val="en-US" w:eastAsia="zh-CN"/>
              </w:rPr>
              <w:t>、脱醇废气</w:t>
            </w:r>
            <w:r>
              <w:rPr>
                <w:rFonts w:hint="eastAsia" w:ascii="Times New Roman" w:hAnsi="Times New Roman" w:eastAsia="宋体" w:cs="Times New Roman"/>
                <w:color w:val="auto"/>
                <w:sz w:val="24"/>
                <w:highlight w:val="none"/>
                <w:lang w:val="en-US" w:eastAsia="zh-CN"/>
              </w:rPr>
              <w:t>及过滤残渣堆存过程产生的异味（</w:t>
            </w:r>
            <w:r>
              <w:rPr>
                <w:rFonts w:hint="default" w:ascii="Times New Roman" w:hAnsi="Times New Roman" w:eastAsia="宋体" w:cs="Times New Roman"/>
                <w:color w:val="auto"/>
                <w:sz w:val="24"/>
                <w:highlight w:val="none"/>
                <w:lang w:val="en-US" w:eastAsia="zh-CN"/>
              </w:rPr>
              <w:t>臭气浓度</w:t>
            </w:r>
            <w:r>
              <w:rPr>
                <w:rFonts w:hint="eastAsia" w:eastAsia="宋体" w:cs="Times New Roman"/>
                <w:color w:val="auto"/>
                <w:sz w:val="24"/>
                <w:highlight w:val="none"/>
                <w:lang w:val="en-US" w:eastAsia="zh-CN"/>
              </w:rPr>
              <w:t>、硫化氢、氨气</w:t>
            </w:r>
            <w:r>
              <w:rPr>
                <w:rFonts w:hint="eastAsia" w:ascii="Times New Roman" w:hAnsi="Times New Roman" w:eastAsia="宋体" w:cs="Times New Roman"/>
                <w:color w:val="auto"/>
                <w:sz w:val="24"/>
                <w:highlight w:val="none"/>
                <w:lang w:val="en-US" w:eastAsia="zh-CN"/>
              </w:rPr>
              <w:t>），</w:t>
            </w:r>
            <w:r>
              <w:rPr>
                <w:rFonts w:hint="eastAsia" w:ascii="Times New Roman" w:hAnsi="Times New Roman" w:eastAsia="宋体" w:cs="Times New Roman"/>
                <w:b w:val="0"/>
                <w:bCs w:val="0"/>
                <w:color w:val="auto"/>
                <w:sz w:val="24"/>
                <w:lang w:val="en-US" w:eastAsia="zh-CN"/>
              </w:rPr>
              <w:t>项目车间整体密闭</w:t>
            </w:r>
            <w:r>
              <w:rPr>
                <w:rFonts w:hint="eastAsia" w:cs="Times New Roman"/>
                <w:b w:val="0"/>
                <w:bCs w:val="0"/>
                <w:color w:val="auto"/>
                <w:sz w:val="24"/>
                <w:lang w:val="en-US" w:eastAsia="zh-CN"/>
              </w:rPr>
              <w:t>，</w:t>
            </w:r>
            <w:r>
              <w:rPr>
                <w:rFonts w:hint="eastAsia" w:ascii="Times New Roman" w:hAnsi="Times New Roman" w:eastAsia="宋体" w:cs="Times New Roman"/>
                <w:b w:val="0"/>
                <w:bCs w:val="0"/>
                <w:color w:val="auto"/>
                <w:sz w:val="24"/>
                <w:lang w:val="en-US" w:eastAsia="zh-CN"/>
              </w:rPr>
              <w:t>车间内设置机械排风设施，</w:t>
            </w:r>
            <w:r>
              <w:rPr>
                <w:rFonts w:hint="eastAsia" w:cs="Times New Roman"/>
                <w:color w:val="auto"/>
                <w:sz w:val="24"/>
                <w:highlight w:val="none"/>
                <w:lang w:val="en-US" w:eastAsia="zh-CN"/>
              </w:rPr>
              <w:t>其中脱醇废气经</w:t>
            </w:r>
            <w:r>
              <w:rPr>
                <w:rFonts w:hint="eastAsia" w:ascii="Times New Roman" w:hAnsi="Times New Roman" w:eastAsia="宋体" w:cs="Times New Roman"/>
                <w:b w:val="0"/>
                <w:bCs w:val="0"/>
                <w:color w:val="auto"/>
                <w:sz w:val="24"/>
                <w:highlight w:val="none"/>
                <w:lang w:val="en-US" w:eastAsia="zh-CN"/>
              </w:rPr>
              <w:t>设备自带内置冷凝回收装置</w:t>
            </w:r>
            <w:r>
              <w:rPr>
                <w:rFonts w:hint="eastAsia" w:cs="Times New Roman"/>
                <w:b w:val="0"/>
                <w:bCs w:val="0"/>
                <w:color w:val="auto"/>
                <w:sz w:val="24"/>
                <w:highlight w:val="none"/>
                <w:lang w:val="en-US" w:eastAsia="zh-CN"/>
              </w:rPr>
              <w:t>处理后</w:t>
            </w:r>
            <w:r>
              <w:rPr>
                <w:rFonts w:hint="eastAsia" w:ascii="Times New Roman" w:hAnsi="Times New Roman" w:eastAsia="宋体" w:cs="Times New Roman"/>
                <w:color w:val="auto"/>
                <w:sz w:val="24"/>
                <w:highlight w:val="none"/>
                <w:lang w:val="en-US" w:eastAsia="zh-CN"/>
              </w:rPr>
              <w:t>无组织排放，</w:t>
            </w:r>
            <w:r>
              <w:rPr>
                <w:rFonts w:hint="eastAsia" w:cs="Times New Roman"/>
                <w:color w:val="auto"/>
                <w:sz w:val="24"/>
                <w:highlight w:val="none"/>
                <w:lang w:val="en-US" w:eastAsia="zh-CN"/>
              </w:rPr>
              <w:t>发酵废气和堆存废气</w:t>
            </w:r>
            <w:r>
              <w:rPr>
                <w:rFonts w:hint="eastAsia" w:ascii="Times New Roman" w:hAnsi="Times New Roman" w:eastAsia="宋体" w:cs="Times New Roman"/>
                <w:b w:val="0"/>
                <w:bCs w:val="0"/>
                <w:color w:val="auto"/>
                <w:sz w:val="24"/>
                <w:lang w:val="en-US" w:eastAsia="zh-CN"/>
              </w:rPr>
              <w:t>经车间通风换气，过滤残渣、发酵变质品、腐烂果品暂存在带盖塑料桶内，日产日清等措施后，项目厂界</w:t>
            </w:r>
            <w:r>
              <w:rPr>
                <w:rFonts w:hint="eastAsia" w:ascii="Times New Roman" w:hAnsi="Times New Roman" w:eastAsia="宋体" w:cs="Times New Roman"/>
                <w:color w:val="auto"/>
                <w:sz w:val="24"/>
                <w:highlight w:val="none"/>
                <w:lang w:val="en-US" w:eastAsia="zh-CN"/>
              </w:rPr>
              <w:t>臭气浓度</w:t>
            </w:r>
            <w:r>
              <w:rPr>
                <w:rFonts w:hint="eastAsia" w:eastAsia="宋体" w:cs="Times New Roman"/>
                <w:color w:val="auto"/>
                <w:sz w:val="24"/>
                <w:highlight w:val="none"/>
                <w:lang w:val="en-US" w:eastAsia="zh-CN"/>
              </w:rPr>
              <w:t>、硫化氢、氨气</w:t>
            </w:r>
            <w:r>
              <w:rPr>
                <w:rFonts w:hint="eastAsia" w:ascii="Times New Roman" w:hAnsi="Times New Roman" w:eastAsia="宋体" w:cs="Times New Roman"/>
                <w:color w:val="auto"/>
                <w:sz w:val="24"/>
                <w:highlight w:val="none"/>
                <w:lang w:val="en-US" w:eastAsia="zh-CN"/>
              </w:rPr>
              <w:t>能达到《恶臭污染物排放标准》（GB14554-93）表1恶臭污染物厂界标准值中二级标准（新扩改建），厂区内非甲烷总烃达到《挥发性有机物无组织排放控制标准》（GB37822-2019）表A.1厂区内VOCs无组织排放限值；厂界非甲烷总烃排放浓度能达到《大气污染物综合排放标准》（GB16297-1996）表2中无组织排放标准。综上所述，项目运营期对周边环境影响不大。</w:t>
            </w:r>
          </w:p>
          <w:p w14:paraId="4338D3F4">
            <w:pPr>
              <w:ind w:firstLine="482"/>
              <w:rPr>
                <w:rFonts w:hint="eastAsia" w:ascii="Times New Roman" w:hAnsi="Times New Roman" w:eastAsia="宋体" w:cs="Times New Roman"/>
                <w:b/>
                <w:bCs/>
                <w:color w:val="auto"/>
                <w:kern w:val="0"/>
                <w:highlight w:val="none"/>
                <w:lang w:val="en-US" w:eastAsia="zh-CN"/>
              </w:rPr>
            </w:pPr>
            <w:bookmarkStart w:id="38" w:name="OLE_LINK696"/>
            <w:r>
              <w:rPr>
                <w:rFonts w:hint="eastAsia" w:ascii="Times New Roman" w:hAnsi="Times New Roman" w:eastAsia="宋体" w:cs="Times New Roman"/>
                <w:b/>
                <w:bCs/>
                <w:color w:val="auto"/>
                <w:kern w:val="0"/>
                <w:highlight w:val="none"/>
                <w:lang w:val="en-US" w:eastAsia="zh-CN"/>
              </w:rPr>
              <w:t>4.</w:t>
            </w:r>
            <w:r>
              <w:rPr>
                <w:rFonts w:hint="eastAsia" w:cs="Times New Roman"/>
                <w:b/>
                <w:bCs/>
                <w:color w:val="auto"/>
                <w:kern w:val="0"/>
                <w:highlight w:val="none"/>
                <w:lang w:val="en-US" w:eastAsia="zh-CN"/>
              </w:rPr>
              <w:t>2</w:t>
            </w:r>
            <w:r>
              <w:rPr>
                <w:rFonts w:hint="eastAsia" w:ascii="Times New Roman" w:hAnsi="Times New Roman" w:eastAsia="宋体" w:cs="Times New Roman"/>
                <w:b/>
                <w:bCs/>
                <w:color w:val="auto"/>
                <w:kern w:val="0"/>
                <w:highlight w:val="none"/>
                <w:lang w:val="en-US" w:eastAsia="zh-CN"/>
              </w:rPr>
              <w:t>.</w:t>
            </w:r>
            <w:r>
              <w:rPr>
                <w:rFonts w:hint="eastAsia" w:cs="Times New Roman"/>
                <w:b/>
                <w:bCs/>
                <w:color w:val="auto"/>
                <w:kern w:val="0"/>
                <w:highlight w:val="none"/>
                <w:lang w:val="en-US" w:eastAsia="zh-CN"/>
              </w:rPr>
              <w:t>4</w:t>
            </w:r>
            <w:r>
              <w:rPr>
                <w:rFonts w:hint="eastAsia" w:ascii="Times New Roman" w:hAnsi="Times New Roman" w:eastAsia="宋体" w:cs="Times New Roman"/>
                <w:b/>
                <w:bCs/>
                <w:color w:val="auto"/>
                <w:kern w:val="0"/>
                <w:highlight w:val="none"/>
                <w:lang w:val="en-US" w:eastAsia="zh-CN"/>
              </w:rPr>
              <w:t>废气自行监测计划</w:t>
            </w:r>
          </w:p>
          <w:bookmarkEnd w:id="38"/>
          <w:p w14:paraId="77C8844D">
            <w:pPr>
              <w:spacing w:line="360" w:lineRule="auto"/>
              <w:ind w:firstLine="480" w:firstLineChars="200"/>
              <w:rPr>
                <w:color w:val="auto"/>
                <w:sz w:val="24"/>
              </w:rPr>
            </w:pPr>
            <w:bookmarkStart w:id="39" w:name="OLE_LINK22"/>
            <w:r>
              <w:rPr>
                <w:rFonts w:hint="eastAsia"/>
                <w:color w:val="auto"/>
                <w:sz w:val="24"/>
                <w:lang w:eastAsia="zh-CN"/>
              </w:rPr>
              <w:t>根据</w:t>
            </w:r>
            <w:r>
              <w:rPr>
                <w:rFonts w:hint="eastAsia"/>
                <w:color w:val="auto"/>
                <w:sz w:val="24"/>
                <w:lang w:val="en-US" w:eastAsia="zh-CN"/>
              </w:rPr>
              <w:t>《排污许可证申请与核发技术规范 酒、饮料制造工业》（HJ 1028-2019）、《排污单位自行监测技术指南 酒、饮料制造》（HJ 1085-2020）</w:t>
            </w:r>
            <w:r>
              <w:rPr>
                <w:rFonts w:hint="eastAsia"/>
                <w:color w:val="auto"/>
                <w:sz w:val="24"/>
              </w:rPr>
              <w:t>等相关要求，结合项目特点</w:t>
            </w:r>
            <w:r>
              <w:rPr>
                <w:rFonts w:hint="eastAsia"/>
                <w:color w:val="auto"/>
                <w:sz w:val="24"/>
                <w:lang w:eastAsia="zh-CN"/>
              </w:rPr>
              <w:t>，本项目</w:t>
            </w:r>
            <w:r>
              <w:rPr>
                <w:rFonts w:hint="eastAsia"/>
                <w:color w:val="auto"/>
                <w:sz w:val="24"/>
              </w:rPr>
              <w:t>运营期废气例行监测计划详见下表：</w:t>
            </w:r>
          </w:p>
          <w:bookmarkEnd w:id="39"/>
          <w:p w14:paraId="343BBC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bookmarkStart w:id="40" w:name="OLE_LINK469"/>
            <w:bookmarkStart w:id="41" w:name="OLE_LINK666"/>
            <w:r>
              <w:rPr>
                <w:b/>
                <w:bCs/>
                <w:color w:val="auto"/>
                <w:sz w:val="21"/>
                <w:szCs w:val="21"/>
              </w:rPr>
              <w:t>表</w:t>
            </w:r>
            <w:r>
              <w:rPr>
                <w:rFonts w:hint="eastAsia"/>
                <w:b/>
                <w:bCs/>
                <w:color w:val="auto"/>
                <w:sz w:val="21"/>
                <w:szCs w:val="21"/>
              </w:rPr>
              <w:t>4-</w:t>
            </w:r>
            <w:r>
              <w:rPr>
                <w:rFonts w:hint="eastAsia"/>
                <w:b/>
                <w:bCs/>
                <w:color w:val="auto"/>
                <w:sz w:val="21"/>
                <w:szCs w:val="21"/>
                <w:lang w:val="en-US" w:eastAsia="zh-CN"/>
              </w:rPr>
              <w:t>2</w:t>
            </w:r>
            <w:r>
              <w:rPr>
                <w:rFonts w:hint="eastAsia"/>
                <w:b/>
                <w:bCs/>
                <w:color w:val="auto"/>
                <w:sz w:val="21"/>
                <w:szCs w:val="21"/>
              </w:rPr>
              <w:t xml:space="preserve"> </w:t>
            </w:r>
            <w:r>
              <w:rPr>
                <w:rFonts w:hint="eastAsia"/>
                <w:b/>
                <w:bCs/>
                <w:color w:val="auto"/>
                <w:sz w:val="21"/>
                <w:szCs w:val="21"/>
                <w:lang w:eastAsia="zh-CN"/>
              </w:rPr>
              <w:t>本</w:t>
            </w:r>
            <w:r>
              <w:rPr>
                <w:b/>
                <w:bCs/>
                <w:color w:val="auto"/>
                <w:sz w:val="21"/>
                <w:szCs w:val="21"/>
              </w:rPr>
              <w:t>项目</w:t>
            </w:r>
            <w:r>
              <w:rPr>
                <w:rFonts w:hint="eastAsia"/>
                <w:b/>
                <w:bCs/>
                <w:color w:val="auto"/>
                <w:sz w:val="21"/>
                <w:szCs w:val="21"/>
              </w:rPr>
              <w:t>运营期废气</w:t>
            </w:r>
            <w:r>
              <w:rPr>
                <w:b/>
                <w:bCs/>
                <w:color w:val="auto"/>
                <w:sz w:val="21"/>
                <w:szCs w:val="21"/>
              </w:rPr>
              <w:t>自行监测计划</w:t>
            </w:r>
            <w:r>
              <w:rPr>
                <w:rFonts w:hint="eastAsia"/>
                <w:b/>
                <w:bCs/>
                <w:color w:val="auto"/>
                <w:sz w:val="21"/>
                <w:szCs w:val="21"/>
              </w:rPr>
              <w:t>表</w:t>
            </w:r>
          </w:p>
          <w:bookmarkEnd w:id="40"/>
          <w:bookmarkEnd w:id="41"/>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318"/>
              <w:gridCol w:w="1290"/>
              <w:gridCol w:w="1963"/>
              <w:gridCol w:w="1326"/>
              <w:gridCol w:w="2701"/>
            </w:tblGrid>
            <w:tr w14:paraId="6097B8E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63" w:hRule="atLeast"/>
                <w:jc w:val="center"/>
              </w:trPr>
              <w:tc>
                <w:tcPr>
                  <w:tcW w:w="1318" w:type="dxa"/>
                  <w:tcBorders>
                    <w:tl2br w:val="nil"/>
                    <w:tr2bl w:val="nil"/>
                  </w:tcBorders>
                  <w:noWrap w:val="0"/>
                  <w:vAlign w:val="center"/>
                </w:tcPr>
                <w:p w14:paraId="74463BF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监测内容</w:t>
                  </w:r>
                </w:p>
              </w:tc>
              <w:tc>
                <w:tcPr>
                  <w:tcW w:w="1290" w:type="dxa"/>
                  <w:tcBorders>
                    <w:tl2br w:val="nil"/>
                    <w:tr2bl w:val="nil"/>
                  </w:tcBorders>
                  <w:noWrap w:val="0"/>
                  <w:vAlign w:val="center"/>
                </w:tcPr>
                <w:p w14:paraId="2856264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监测项目</w:t>
                  </w:r>
                </w:p>
              </w:tc>
              <w:tc>
                <w:tcPr>
                  <w:tcW w:w="1963" w:type="dxa"/>
                  <w:tcBorders>
                    <w:tl2br w:val="nil"/>
                    <w:tr2bl w:val="nil"/>
                  </w:tcBorders>
                  <w:noWrap w:val="0"/>
                  <w:vAlign w:val="center"/>
                </w:tcPr>
                <w:p w14:paraId="2DB0EBA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监测点位</w:t>
                  </w:r>
                </w:p>
              </w:tc>
              <w:tc>
                <w:tcPr>
                  <w:tcW w:w="1326" w:type="dxa"/>
                  <w:tcBorders>
                    <w:tl2br w:val="nil"/>
                    <w:tr2bl w:val="nil"/>
                  </w:tcBorders>
                  <w:noWrap w:val="0"/>
                  <w:vAlign w:val="center"/>
                </w:tcPr>
                <w:p w14:paraId="7A2AEB6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监测频率</w:t>
                  </w:r>
                </w:p>
              </w:tc>
              <w:tc>
                <w:tcPr>
                  <w:tcW w:w="2701" w:type="dxa"/>
                  <w:tcBorders>
                    <w:tl2br w:val="nil"/>
                    <w:tr2bl w:val="nil"/>
                  </w:tcBorders>
                  <w:noWrap w:val="0"/>
                  <w:vAlign w:val="center"/>
                </w:tcPr>
                <w:p w14:paraId="022DF2B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执行标准</w:t>
                  </w:r>
                </w:p>
              </w:tc>
            </w:tr>
            <w:tr w14:paraId="26D9A27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17" w:hRule="atLeast"/>
                <w:jc w:val="center"/>
              </w:trPr>
              <w:tc>
                <w:tcPr>
                  <w:tcW w:w="1318" w:type="dxa"/>
                  <w:vMerge w:val="restart"/>
                  <w:tcBorders>
                    <w:tl2br w:val="nil"/>
                    <w:tr2bl w:val="nil"/>
                  </w:tcBorders>
                  <w:noWrap w:val="0"/>
                  <w:vAlign w:val="center"/>
                </w:tcPr>
                <w:p w14:paraId="048CE32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无组织废气</w:t>
                  </w:r>
                </w:p>
              </w:tc>
              <w:tc>
                <w:tcPr>
                  <w:tcW w:w="1290" w:type="dxa"/>
                  <w:tcBorders>
                    <w:tl2br w:val="nil"/>
                    <w:tr2bl w:val="nil"/>
                  </w:tcBorders>
                  <w:noWrap w:val="0"/>
                  <w:vAlign w:val="center"/>
                </w:tcPr>
                <w:p w14:paraId="1F5E049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臭气浓度、氨、硫化氢</w:t>
                  </w:r>
                </w:p>
              </w:tc>
              <w:tc>
                <w:tcPr>
                  <w:tcW w:w="1963" w:type="dxa"/>
                  <w:vMerge w:val="restart"/>
                  <w:tcBorders>
                    <w:tl2br w:val="nil"/>
                    <w:tr2bl w:val="nil"/>
                  </w:tcBorders>
                  <w:noWrap w:val="0"/>
                  <w:vAlign w:val="center"/>
                </w:tcPr>
                <w:p w14:paraId="0761238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厂界外1m上风向监测点1个、下风向1个监测点位、侧风向2个监测点位</w:t>
                  </w:r>
                </w:p>
              </w:tc>
              <w:tc>
                <w:tcPr>
                  <w:tcW w:w="1326" w:type="dxa"/>
                  <w:tcBorders>
                    <w:tl2br w:val="nil"/>
                    <w:tr2bl w:val="nil"/>
                  </w:tcBorders>
                  <w:noWrap w:val="0"/>
                  <w:vAlign w:val="center"/>
                </w:tcPr>
                <w:p w14:paraId="223ED22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1次/半年</w:t>
                  </w:r>
                </w:p>
              </w:tc>
              <w:tc>
                <w:tcPr>
                  <w:tcW w:w="2701" w:type="dxa"/>
                  <w:tcBorders>
                    <w:tl2br w:val="nil"/>
                    <w:tr2bl w:val="nil"/>
                  </w:tcBorders>
                  <w:noWrap w:val="0"/>
                  <w:vAlign w:val="center"/>
                </w:tcPr>
                <w:p w14:paraId="5AFBA5A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《恶臭污染物排放标准》（GB14554-93）</w:t>
                  </w:r>
                </w:p>
              </w:tc>
            </w:tr>
            <w:tr w14:paraId="3835D5A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5" w:hRule="atLeast"/>
                <w:jc w:val="center"/>
              </w:trPr>
              <w:tc>
                <w:tcPr>
                  <w:tcW w:w="1318" w:type="dxa"/>
                  <w:vMerge w:val="continue"/>
                  <w:tcBorders>
                    <w:tl2br w:val="nil"/>
                    <w:tr2bl w:val="nil"/>
                  </w:tcBorders>
                  <w:noWrap w:val="0"/>
                  <w:vAlign w:val="center"/>
                </w:tcPr>
                <w:p w14:paraId="0419B8C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1290" w:type="dxa"/>
                  <w:tcBorders>
                    <w:tl2br w:val="nil"/>
                    <w:tr2bl w:val="nil"/>
                  </w:tcBorders>
                  <w:noWrap w:val="0"/>
                  <w:vAlign w:val="center"/>
                </w:tcPr>
                <w:p w14:paraId="5DB0AD9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非甲烷总烃</w:t>
                  </w:r>
                </w:p>
              </w:tc>
              <w:tc>
                <w:tcPr>
                  <w:tcW w:w="1963" w:type="dxa"/>
                  <w:vMerge w:val="continue"/>
                  <w:tcBorders>
                    <w:tl2br w:val="nil"/>
                    <w:tr2bl w:val="nil"/>
                  </w:tcBorders>
                  <w:noWrap w:val="0"/>
                  <w:vAlign w:val="center"/>
                </w:tcPr>
                <w:p w14:paraId="62C1E55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1326" w:type="dxa"/>
                  <w:tcBorders>
                    <w:tl2br w:val="nil"/>
                    <w:tr2bl w:val="nil"/>
                  </w:tcBorders>
                  <w:noWrap w:val="0"/>
                  <w:vAlign w:val="center"/>
                </w:tcPr>
                <w:p w14:paraId="75E757F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1次/半年</w:t>
                  </w:r>
                </w:p>
              </w:tc>
              <w:tc>
                <w:tcPr>
                  <w:tcW w:w="2701" w:type="dxa"/>
                  <w:tcBorders>
                    <w:tl2br w:val="nil"/>
                    <w:tr2bl w:val="nil"/>
                  </w:tcBorders>
                  <w:noWrap w:val="0"/>
                  <w:vAlign w:val="center"/>
                </w:tcPr>
                <w:p w14:paraId="0AD76AC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《大气污染物综合排放标准》（GB16297-1996）表2中无组织排放标准</w:t>
                  </w:r>
                </w:p>
              </w:tc>
            </w:tr>
            <w:tr w14:paraId="409650C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28" w:hRule="atLeast"/>
                <w:jc w:val="center"/>
              </w:trPr>
              <w:tc>
                <w:tcPr>
                  <w:tcW w:w="1318" w:type="dxa"/>
                  <w:vMerge w:val="continue"/>
                  <w:tcBorders>
                    <w:tl2br w:val="nil"/>
                    <w:tr2bl w:val="nil"/>
                  </w:tcBorders>
                  <w:noWrap w:val="0"/>
                  <w:vAlign w:val="center"/>
                </w:tcPr>
                <w:p w14:paraId="724D225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1290" w:type="dxa"/>
                  <w:tcBorders>
                    <w:tl2br w:val="nil"/>
                    <w:tr2bl w:val="nil"/>
                  </w:tcBorders>
                  <w:noWrap w:val="0"/>
                  <w:vAlign w:val="center"/>
                </w:tcPr>
                <w:p w14:paraId="128E60F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非甲烷总烃</w:t>
                  </w:r>
                </w:p>
              </w:tc>
              <w:tc>
                <w:tcPr>
                  <w:tcW w:w="1963" w:type="dxa"/>
                  <w:tcBorders>
                    <w:tl2br w:val="nil"/>
                    <w:tr2bl w:val="nil"/>
                  </w:tcBorders>
                  <w:noWrap w:val="0"/>
                  <w:vAlign w:val="center"/>
                </w:tcPr>
                <w:p w14:paraId="36DA29F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厂区内（厂房外1m）</w:t>
                  </w:r>
                </w:p>
              </w:tc>
              <w:tc>
                <w:tcPr>
                  <w:tcW w:w="1326" w:type="dxa"/>
                  <w:tcBorders>
                    <w:tl2br w:val="nil"/>
                    <w:tr2bl w:val="nil"/>
                  </w:tcBorders>
                  <w:noWrap w:val="0"/>
                  <w:vAlign w:val="center"/>
                </w:tcPr>
                <w:p w14:paraId="23ACC6B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1次/半年</w:t>
                  </w:r>
                </w:p>
              </w:tc>
              <w:tc>
                <w:tcPr>
                  <w:tcW w:w="2701" w:type="dxa"/>
                  <w:tcBorders>
                    <w:tl2br w:val="nil"/>
                    <w:tr2bl w:val="nil"/>
                  </w:tcBorders>
                  <w:noWrap w:val="0"/>
                  <w:vAlign w:val="center"/>
                </w:tcPr>
                <w:p w14:paraId="40B3EBE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《挥发性有机物无组织排放控制标准》（GB37822-2019）附录A中表A.1中标准限值</w:t>
                  </w:r>
                </w:p>
              </w:tc>
            </w:tr>
          </w:tbl>
          <w:p w14:paraId="61925336">
            <w:pPr>
              <w:pStyle w:val="6"/>
              <w:pageBreakBefore w:val="0"/>
              <w:widowControl w:val="0"/>
              <w:kinsoku/>
              <w:wordWrap/>
              <w:overflowPunct/>
              <w:topLinePunct w:val="0"/>
              <w:autoSpaceDE/>
              <w:autoSpaceDN/>
              <w:bidi w:val="0"/>
              <w:adjustRightInd w:val="0"/>
              <w:snapToGrid w:val="0"/>
              <w:spacing w:before="0" w:after="0" w:line="360" w:lineRule="auto"/>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4.</w:t>
            </w:r>
            <w:r>
              <w:rPr>
                <w:rFonts w:hint="eastAsia" w:ascii="Times New Roman" w:hAnsi="Times New Roman" w:eastAsia="宋体" w:cs="Times New Roman"/>
                <w:color w:val="auto"/>
                <w:sz w:val="24"/>
                <w:lang w:val="en-US" w:eastAsia="zh-CN"/>
              </w:rPr>
              <w:t>3</w:t>
            </w:r>
            <w:r>
              <w:rPr>
                <w:rFonts w:hint="default" w:ascii="Times New Roman" w:hAnsi="Times New Roman" w:eastAsia="宋体" w:cs="Times New Roman"/>
                <w:color w:val="auto"/>
                <w:sz w:val="24"/>
              </w:rPr>
              <w:t>运营期废水环境影响和保护措施</w:t>
            </w:r>
          </w:p>
          <w:p w14:paraId="56223A79">
            <w:pPr>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color w:val="auto"/>
                <w:sz w:val="24"/>
                <w:szCs w:val="27"/>
              </w:rPr>
            </w:pPr>
            <w:r>
              <w:rPr>
                <w:rFonts w:hint="default" w:ascii="Times New Roman" w:hAnsi="Times New Roman" w:eastAsia="宋体" w:cs="Times New Roman"/>
                <w:b/>
                <w:color w:val="auto"/>
                <w:sz w:val="24"/>
                <w:szCs w:val="27"/>
              </w:rPr>
              <w:t>4.</w:t>
            </w:r>
            <w:r>
              <w:rPr>
                <w:rFonts w:hint="eastAsia" w:cs="Times New Roman"/>
                <w:b/>
                <w:color w:val="auto"/>
                <w:sz w:val="24"/>
                <w:szCs w:val="27"/>
                <w:lang w:val="en-US" w:eastAsia="zh-CN"/>
              </w:rPr>
              <w:t>3</w:t>
            </w:r>
            <w:r>
              <w:rPr>
                <w:rFonts w:hint="default" w:ascii="Times New Roman" w:hAnsi="Times New Roman" w:eastAsia="宋体" w:cs="Times New Roman"/>
                <w:b/>
                <w:color w:val="auto"/>
                <w:sz w:val="24"/>
                <w:szCs w:val="27"/>
              </w:rPr>
              <w:t>.1废水产生及排放情况分析</w:t>
            </w:r>
          </w:p>
          <w:p w14:paraId="351091E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lang w:val="en-US" w:eastAsia="zh-CN"/>
              </w:rPr>
            </w:pPr>
            <w:r>
              <w:rPr>
                <w:rFonts w:hint="eastAsia"/>
                <w:color w:val="auto"/>
                <w:sz w:val="24"/>
              </w:rPr>
              <w:t>本项目</w:t>
            </w:r>
            <w:r>
              <w:rPr>
                <w:rFonts w:hint="eastAsia"/>
                <w:color w:val="auto"/>
                <w:sz w:val="24"/>
                <w:lang w:eastAsia="zh-CN"/>
              </w:rPr>
              <w:t>生产废水主要</w:t>
            </w:r>
            <w:r>
              <w:rPr>
                <w:rFonts w:hint="eastAsia"/>
                <w:color w:val="auto"/>
                <w:sz w:val="24"/>
                <w:lang w:val="en-US" w:eastAsia="zh-CN"/>
              </w:rPr>
              <w:t>包括设备清洗废水、空瓶清洗废水、试验废液、试验仪器清洗废水和纯水制备浓水</w:t>
            </w:r>
            <w:r>
              <w:rPr>
                <w:rFonts w:hint="eastAsia"/>
                <w:color w:val="auto"/>
                <w:sz w:val="24"/>
                <w:lang w:eastAsia="zh-CN"/>
              </w:rPr>
              <w:t>。根据水平衡，设备清洗</w:t>
            </w:r>
            <w:r>
              <w:rPr>
                <w:rFonts w:hint="eastAsia"/>
                <w:color w:val="FF0000"/>
                <w:sz w:val="24"/>
                <w:highlight w:val="none"/>
                <w:lang w:val="en-US" w:eastAsia="zh-CN"/>
              </w:rPr>
              <w:t>废水排放量为12.96</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 w:val="24"/>
                <w:highlight w:val="none"/>
                <w:lang w:val="en-US" w:eastAsia="zh-CN"/>
              </w:rPr>
              <w:t>/a，</w:t>
            </w:r>
            <w:r>
              <w:rPr>
                <w:rFonts w:hint="eastAsia"/>
                <w:color w:val="FF0000"/>
                <w:sz w:val="24"/>
                <w:lang w:val="en-US" w:eastAsia="zh-CN"/>
              </w:rPr>
              <w:t>空瓶清洗废水排放量为96</w:t>
            </w:r>
            <w:r>
              <w:rPr>
                <w:rFonts w:hint="eastAsia" w:cs="Times New Roman"/>
                <w:color w:val="FF0000"/>
                <w:sz w:val="24"/>
                <w:szCs w:val="24"/>
                <w:lang w:val="en-US" w:eastAsia="zh-CN"/>
              </w:rPr>
              <w:t>m</w:t>
            </w:r>
            <w:r>
              <w:rPr>
                <w:rFonts w:hint="eastAsia" w:cs="Times New Roman"/>
                <w:color w:val="FF0000"/>
                <w:sz w:val="24"/>
                <w:szCs w:val="24"/>
                <w:vertAlign w:val="superscript"/>
                <w:lang w:val="en-US" w:eastAsia="zh-CN"/>
              </w:rPr>
              <w:t>3</w:t>
            </w:r>
            <w:r>
              <w:rPr>
                <w:rFonts w:hint="eastAsia"/>
                <w:color w:val="FF0000"/>
                <w:szCs w:val="21"/>
              </w:rPr>
              <w:t>/a</w:t>
            </w:r>
            <w:r>
              <w:rPr>
                <w:rFonts w:hint="eastAsia"/>
                <w:color w:val="FF0000"/>
                <w:szCs w:val="21"/>
                <w:lang w:eastAsia="zh-CN"/>
              </w:rPr>
              <w:t>，试验</w:t>
            </w:r>
            <w:r>
              <w:rPr>
                <w:rFonts w:hint="eastAsia"/>
                <w:color w:val="FF0000"/>
                <w:sz w:val="24"/>
                <w:highlight w:val="none"/>
                <w:lang w:val="en-US" w:eastAsia="zh-CN"/>
              </w:rPr>
              <w:t>仪器清洗废水排放量为4</w:t>
            </w:r>
            <w:r>
              <w:rPr>
                <w:rFonts w:hint="eastAsia" w:cs="Times New Roman"/>
                <w:color w:val="FF0000"/>
                <w:sz w:val="24"/>
                <w:szCs w:val="24"/>
                <w:lang w:val="en-US" w:eastAsia="zh-CN"/>
              </w:rPr>
              <w:t>m</w:t>
            </w:r>
            <w:r>
              <w:rPr>
                <w:rFonts w:hint="eastAsia" w:cs="Times New Roman"/>
                <w:color w:val="FF0000"/>
                <w:sz w:val="24"/>
                <w:szCs w:val="24"/>
                <w:vertAlign w:val="superscript"/>
                <w:lang w:val="en-US" w:eastAsia="zh-CN"/>
              </w:rPr>
              <w:t>3</w:t>
            </w:r>
            <w:r>
              <w:rPr>
                <w:rFonts w:hint="eastAsia"/>
                <w:color w:val="FF0000"/>
                <w:sz w:val="24"/>
                <w:lang w:val="en-US" w:eastAsia="zh-CN"/>
              </w:rPr>
              <w:t>/a，</w:t>
            </w:r>
            <w:r>
              <w:rPr>
                <w:rFonts w:hint="eastAsia"/>
                <w:color w:val="FF0000"/>
                <w:sz w:val="24"/>
                <w:highlight w:val="none"/>
                <w:lang w:val="en-US" w:eastAsia="zh-CN"/>
              </w:rPr>
              <w:t>纯水制备浓水产生量约94</w:t>
            </w:r>
            <w:r>
              <w:rPr>
                <w:rFonts w:hint="eastAsia" w:cs="Times New Roman"/>
                <w:color w:val="FF0000"/>
                <w:sz w:val="24"/>
                <w:szCs w:val="24"/>
                <w:highlight w:val="none"/>
                <w:lang w:val="en-US" w:eastAsia="zh-CN"/>
              </w:rPr>
              <w:t>m</w:t>
            </w:r>
            <w:r>
              <w:rPr>
                <w:rFonts w:hint="eastAsia" w:cs="Times New Roman"/>
                <w:color w:val="FF0000"/>
                <w:sz w:val="24"/>
                <w:szCs w:val="24"/>
                <w:highlight w:val="none"/>
                <w:vertAlign w:val="superscript"/>
                <w:lang w:val="en-US" w:eastAsia="zh-CN"/>
              </w:rPr>
              <w:t>3</w:t>
            </w:r>
            <w:r>
              <w:rPr>
                <w:rFonts w:hint="eastAsia"/>
                <w:color w:val="FF0000"/>
                <w:sz w:val="24"/>
                <w:highlight w:val="none"/>
                <w:lang w:val="en-US" w:eastAsia="zh-CN"/>
              </w:rPr>
              <w:t>/a。</w:t>
            </w:r>
          </w:p>
          <w:p w14:paraId="6C43E8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FF0000"/>
                <w:sz w:val="24"/>
                <w:lang w:val="en-US" w:eastAsia="zh-CN"/>
              </w:rPr>
            </w:pPr>
            <w:r>
              <w:rPr>
                <w:rFonts w:hint="eastAsia"/>
                <w:color w:val="FF0000"/>
                <w:sz w:val="24"/>
                <w:lang w:val="en-US" w:eastAsia="zh-CN"/>
              </w:rPr>
              <w:t>项目生产过程产生的生产废水中污染物浓度参考</w:t>
            </w:r>
            <w:r>
              <w:rPr>
                <w:rFonts w:hint="eastAsia" w:cs="Times New Roman"/>
                <w:b w:val="0"/>
                <w:bCs w:val="0"/>
                <w:color w:val="FF0000"/>
                <w:sz w:val="24"/>
                <w:lang w:val="en-US" w:eastAsia="zh-CN"/>
              </w:rPr>
              <w:t>《广东绿帝桂荔农业科技有限公司年产300吨果酒建设项目环境影响报告表》，该类比项目已取得批复且用水类型、</w:t>
            </w:r>
            <w:r>
              <w:rPr>
                <w:rFonts w:hint="eastAsia" w:ascii="Times New Roman" w:hAnsi="Times New Roman" w:eastAsia="宋体" w:cs="Times New Roman"/>
                <w:bCs/>
                <w:color w:val="FF0000"/>
                <w:sz w:val="24"/>
                <w:lang w:val="en-US" w:eastAsia="zh-CN"/>
              </w:rPr>
              <w:t>生产工艺、所用原辅料类型、设备与本环评基本一致，类比可行</w:t>
            </w:r>
            <w:r>
              <w:rPr>
                <w:rFonts w:hint="eastAsia" w:ascii="Times New Roman" w:hAnsi="Times New Roman" w:cs="Times New Roman"/>
                <w:bCs/>
                <w:color w:val="FF0000"/>
                <w:sz w:val="24"/>
                <w:lang w:val="en-US" w:eastAsia="zh-CN"/>
              </w:rPr>
              <w:t>。</w:t>
            </w:r>
          </w:p>
          <w:p w14:paraId="63D341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FF0000"/>
                <w:sz w:val="24"/>
                <w:lang w:val="en-US" w:eastAsia="zh-CN"/>
              </w:rPr>
            </w:pPr>
            <w:r>
              <w:rPr>
                <w:rFonts w:hint="eastAsia"/>
                <w:color w:val="FF0000"/>
                <w:sz w:val="24"/>
                <w:lang w:val="en-US" w:eastAsia="zh-CN"/>
              </w:rPr>
              <w:t>本项目生产废水产生情况见表4-3。</w:t>
            </w:r>
          </w:p>
          <w:p w14:paraId="6F428616">
            <w:pPr>
              <w:bidi w:val="0"/>
              <w:adjustRightInd/>
              <w:snapToGrid/>
              <w:spacing w:line="240" w:lineRule="auto"/>
              <w:ind w:firstLine="0" w:firstLineChars="0"/>
              <w:jc w:val="center"/>
              <w:rPr>
                <w:rFonts w:hint="eastAsia" w:ascii="Times New Roman" w:hAnsi="Times New Roman" w:cs="Times New Roman"/>
                <w:b/>
                <w:color w:val="FF0000"/>
                <w:sz w:val="21"/>
                <w:szCs w:val="21"/>
              </w:rPr>
            </w:pPr>
            <w:r>
              <w:rPr>
                <w:rFonts w:ascii="Times New Roman" w:hAnsi="Times New Roman" w:cs="Times New Roman"/>
                <w:b/>
                <w:color w:val="FF0000"/>
                <w:sz w:val="21"/>
                <w:szCs w:val="21"/>
              </w:rPr>
              <w:t>表</w:t>
            </w:r>
            <w:r>
              <w:rPr>
                <w:rFonts w:hint="eastAsia" w:ascii="Times New Roman" w:hAnsi="Times New Roman" w:cs="Times New Roman"/>
                <w:b/>
                <w:color w:val="FF0000"/>
                <w:sz w:val="21"/>
                <w:szCs w:val="21"/>
                <w:lang w:val="en-US" w:eastAsia="zh-CN"/>
              </w:rPr>
              <w:t>4-</w:t>
            </w:r>
            <w:r>
              <w:rPr>
                <w:rFonts w:hint="eastAsia" w:cs="Times New Roman"/>
                <w:b/>
                <w:color w:val="FF0000"/>
                <w:sz w:val="21"/>
                <w:szCs w:val="21"/>
                <w:lang w:val="en-US" w:eastAsia="zh-CN"/>
              </w:rPr>
              <w:t>3</w:t>
            </w:r>
            <w:r>
              <w:rPr>
                <w:rFonts w:ascii="Times New Roman" w:hAnsi="Times New Roman" w:cs="Times New Roman"/>
                <w:b/>
                <w:color w:val="FF0000"/>
                <w:sz w:val="21"/>
                <w:szCs w:val="21"/>
              </w:rPr>
              <w:t xml:space="preserve"> </w:t>
            </w:r>
            <w:r>
              <w:rPr>
                <w:rFonts w:hint="eastAsia" w:ascii="Times New Roman" w:hAnsi="Times New Roman" w:cs="Times New Roman"/>
                <w:b/>
                <w:color w:val="FF0000"/>
                <w:sz w:val="21"/>
                <w:szCs w:val="21"/>
              </w:rPr>
              <w:t>项目</w:t>
            </w:r>
            <w:r>
              <w:rPr>
                <w:rFonts w:hint="eastAsia" w:ascii="Times New Roman" w:hAnsi="Times New Roman" w:cs="Times New Roman"/>
                <w:b/>
                <w:color w:val="FF0000"/>
                <w:sz w:val="21"/>
                <w:szCs w:val="21"/>
                <w:lang w:eastAsia="zh-CN"/>
              </w:rPr>
              <w:t>生产</w:t>
            </w:r>
            <w:r>
              <w:rPr>
                <w:rFonts w:hint="eastAsia" w:ascii="Times New Roman" w:hAnsi="Times New Roman" w:cs="Times New Roman"/>
                <w:b/>
                <w:color w:val="FF0000"/>
                <w:sz w:val="21"/>
                <w:szCs w:val="21"/>
              </w:rPr>
              <w:t>废水污染物产生情况一览表</w:t>
            </w:r>
          </w:p>
          <w:tbl>
            <w:tblPr>
              <w:tblStyle w:val="26"/>
              <w:tblW w:w="875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972"/>
              <w:gridCol w:w="744"/>
              <w:gridCol w:w="746"/>
              <w:gridCol w:w="780"/>
              <w:gridCol w:w="391"/>
              <w:gridCol w:w="949"/>
              <w:gridCol w:w="391"/>
              <w:gridCol w:w="488"/>
              <w:gridCol w:w="398"/>
              <w:gridCol w:w="763"/>
              <w:gridCol w:w="762"/>
              <w:gridCol w:w="391"/>
              <w:gridCol w:w="540"/>
              <w:gridCol w:w="442"/>
            </w:tblGrid>
            <w:tr w14:paraId="0AC7C84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38" w:hRule="atLeast"/>
                <w:tblHeader/>
                <w:jc w:val="center"/>
              </w:trPr>
              <w:tc>
                <w:tcPr>
                  <w:tcW w:w="972" w:type="dxa"/>
                  <w:vMerge w:val="restart"/>
                  <w:tcBorders>
                    <w:tl2br w:val="nil"/>
                    <w:tr2bl w:val="nil"/>
                  </w:tcBorders>
                  <w:noWrap w:val="0"/>
                  <w:vAlign w:val="center"/>
                </w:tcPr>
                <w:p w14:paraId="3A60CB2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产排污环节</w:t>
                  </w:r>
                </w:p>
              </w:tc>
              <w:tc>
                <w:tcPr>
                  <w:tcW w:w="744" w:type="dxa"/>
                  <w:vMerge w:val="restart"/>
                  <w:tcBorders>
                    <w:tl2br w:val="nil"/>
                    <w:tr2bl w:val="nil"/>
                  </w:tcBorders>
                  <w:noWrap w:val="0"/>
                  <w:vAlign w:val="center"/>
                </w:tcPr>
                <w:p w14:paraId="1E12CB77">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污染物种类/来源</w:t>
                  </w:r>
                </w:p>
              </w:tc>
              <w:tc>
                <w:tcPr>
                  <w:tcW w:w="1526" w:type="dxa"/>
                  <w:gridSpan w:val="2"/>
                  <w:tcBorders>
                    <w:tl2br w:val="nil"/>
                    <w:tr2bl w:val="nil"/>
                  </w:tcBorders>
                  <w:noWrap w:val="0"/>
                  <w:vAlign w:val="center"/>
                </w:tcPr>
                <w:p w14:paraId="7759B5C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污染物产生情况</w:t>
                  </w:r>
                </w:p>
              </w:tc>
              <w:tc>
                <w:tcPr>
                  <w:tcW w:w="2617" w:type="dxa"/>
                  <w:gridSpan w:val="5"/>
                  <w:tcBorders>
                    <w:tl2br w:val="nil"/>
                    <w:tr2bl w:val="nil"/>
                  </w:tcBorders>
                  <w:noWrap w:val="0"/>
                  <w:vAlign w:val="center"/>
                </w:tcPr>
                <w:p w14:paraId="3EC6E32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主要污染治理措施</w:t>
                  </w:r>
                </w:p>
              </w:tc>
              <w:tc>
                <w:tcPr>
                  <w:tcW w:w="2898" w:type="dxa"/>
                  <w:gridSpan w:val="5"/>
                  <w:tcBorders>
                    <w:tl2br w:val="nil"/>
                    <w:tr2bl w:val="nil"/>
                  </w:tcBorders>
                  <w:noWrap w:val="0"/>
                  <w:vAlign w:val="center"/>
                </w:tcPr>
                <w:p w14:paraId="2C50053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污染物排放情况</w:t>
                  </w:r>
                </w:p>
              </w:tc>
            </w:tr>
            <w:tr w14:paraId="781B3B6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913" w:hRule="atLeast"/>
                <w:tblHeader/>
                <w:jc w:val="center"/>
              </w:trPr>
              <w:tc>
                <w:tcPr>
                  <w:tcW w:w="972" w:type="dxa"/>
                  <w:vMerge w:val="continue"/>
                  <w:tcBorders>
                    <w:tl2br w:val="nil"/>
                    <w:tr2bl w:val="nil"/>
                  </w:tcBorders>
                  <w:noWrap w:val="0"/>
                  <w:vAlign w:val="center"/>
                </w:tcPr>
                <w:p w14:paraId="357352E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p>
              </w:tc>
              <w:tc>
                <w:tcPr>
                  <w:tcW w:w="744" w:type="dxa"/>
                  <w:vMerge w:val="continue"/>
                  <w:tcBorders>
                    <w:tl2br w:val="nil"/>
                    <w:tr2bl w:val="nil"/>
                  </w:tcBorders>
                  <w:noWrap w:val="0"/>
                  <w:vAlign w:val="center"/>
                </w:tcPr>
                <w:p w14:paraId="288E6047">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p>
              </w:tc>
              <w:tc>
                <w:tcPr>
                  <w:tcW w:w="746" w:type="dxa"/>
                  <w:tcBorders>
                    <w:tl2br w:val="nil"/>
                    <w:tr2bl w:val="nil"/>
                  </w:tcBorders>
                  <w:noWrap w:val="0"/>
                  <w:vAlign w:val="center"/>
                </w:tcPr>
                <w:p w14:paraId="72E43357">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产生浓度(mg/L)</w:t>
                  </w:r>
                </w:p>
              </w:tc>
              <w:tc>
                <w:tcPr>
                  <w:tcW w:w="780" w:type="dxa"/>
                  <w:tcBorders>
                    <w:tl2br w:val="nil"/>
                    <w:tr2bl w:val="nil"/>
                  </w:tcBorders>
                  <w:noWrap w:val="0"/>
                  <w:vAlign w:val="center"/>
                </w:tcPr>
                <w:p w14:paraId="6D275DCA">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产生量（t/a）</w:t>
                  </w:r>
                </w:p>
              </w:tc>
              <w:tc>
                <w:tcPr>
                  <w:tcW w:w="391" w:type="dxa"/>
                  <w:tcBorders>
                    <w:tl2br w:val="nil"/>
                    <w:tr2bl w:val="nil"/>
                  </w:tcBorders>
                  <w:noWrap w:val="0"/>
                  <w:vAlign w:val="center"/>
                </w:tcPr>
                <w:p w14:paraId="4BDDB39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治理措施</w:t>
                  </w:r>
                </w:p>
              </w:tc>
              <w:tc>
                <w:tcPr>
                  <w:tcW w:w="949" w:type="dxa"/>
                  <w:tcBorders>
                    <w:tl2br w:val="nil"/>
                    <w:tr2bl w:val="nil"/>
                  </w:tcBorders>
                  <w:noWrap w:val="0"/>
                  <w:vAlign w:val="center"/>
                </w:tcPr>
                <w:p w14:paraId="17A38B1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处理</w:t>
                  </w:r>
                </w:p>
                <w:p w14:paraId="6C92B9F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能力</w:t>
                  </w:r>
                  <w:r>
                    <w:rPr>
                      <w:rFonts w:hint="eastAsia" w:ascii="Times New Roman" w:hAnsi="Times New Roman" w:eastAsia="宋体" w:cs="Times New Roman"/>
                      <w:b/>
                      <w:bCs/>
                      <w:color w:val="FF0000"/>
                      <w:kern w:val="0"/>
                      <w:sz w:val="21"/>
                      <w:szCs w:val="20"/>
                      <w:lang w:val="en-US" w:eastAsia="zh-CN" w:bidi="ar-SA"/>
                    </w:rPr>
                    <w:t>（m</w:t>
                  </w:r>
                  <w:r>
                    <w:rPr>
                      <w:rFonts w:hint="eastAsia" w:ascii="Times New Roman" w:hAnsi="Times New Roman" w:eastAsia="宋体" w:cs="Times New Roman"/>
                      <w:b/>
                      <w:bCs/>
                      <w:color w:val="FF0000"/>
                      <w:kern w:val="0"/>
                      <w:sz w:val="21"/>
                      <w:szCs w:val="20"/>
                      <w:vertAlign w:val="superscript"/>
                      <w:lang w:val="en-US" w:eastAsia="zh-CN" w:bidi="ar-SA"/>
                    </w:rPr>
                    <w:t>3</w:t>
                  </w:r>
                  <w:r>
                    <w:rPr>
                      <w:rFonts w:hint="eastAsia" w:ascii="Times New Roman" w:hAnsi="Times New Roman" w:eastAsia="宋体" w:cs="Times New Roman"/>
                      <w:b/>
                      <w:bCs/>
                      <w:color w:val="FF0000"/>
                      <w:kern w:val="0"/>
                      <w:sz w:val="21"/>
                      <w:szCs w:val="20"/>
                      <w:lang w:val="en-US" w:eastAsia="zh-CN" w:bidi="ar-SA"/>
                    </w:rPr>
                    <w:t>/d）</w:t>
                  </w:r>
                </w:p>
              </w:tc>
              <w:tc>
                <w:tcPr>
                  <w:tcW w:w="391" w:type="dxa"/>
                  <w:tcBorders>
                    <w:tl2br w:val="nil"/>
                    <w:tr2bl w:val="nil"/>
                  </w:tcBorders>
                  <w:noWrap w:val="0"/>
                  <w:vAlign w:val="center"/>
                </w:tcPr>
                <w:p w14:paraId="33FC1DBC">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治理工艺</w:t>
                  </w:r>
                </w:p>
              </w:tc>
              <w:tc>
                <w:tcPr>
                  <w:tcW w:w="488" w:type="dxa"/>
                  <w:tcBorders>
                    <w:tl2br w:val="nil"/>
                    <w:tr2bl w:val="nil"/>
                  </w:tcBorders>
                  <w:noWrap w:val="0"/>
                  <w:vAlign w:val="center"/>
                </w:tcPr>
                <w:p w14:paraId="242E6B3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治理效率(%)</w:t>
                  </w:r>
                </w:p>
              </w:tc>
              <w:tc>
                <w:tcPr>
                  <w:tcW w:w="398" w:type="dxa"/>
                  <w:tcBorders>
                    <w:tl2br w:val="nil"/>
                    <w:tr2bl w:val="nil"/>
                  </w:tcBorders>
                  <w:noWrap w:val="0"/>
                  <w:vAlign w:val="center"/>
                </w:tcPr>
                <w:p w14:paraId="03E8E69A">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是否为可行技术</w:t>
                  </w:r>
                </w:p>
              </w:tc>
              <w:tc>
                <w:tcPr>
                  <w:tcW w:w="763" w:type="dxa"/>
                  <w:tcBorders>
                    <w:tl2br w:val="nil"/>
                    <w:tr2bl w:val="nil"/>
                  </w:tcBorders>
                  <w:noWrap w:val="0"/>
                  <w:vAlign w:val="center"/>
                </w:tcPr>
                <w:p w14:paraId="724305DF">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排放浓度(mg/L)</w:t>
                  </w:r>
                </w:p>
              </w:tc>
              <w:tc>
                <w:tcPr>
                  <w:tcW w:w="762" w:type="dxa"/>
                  <w:tcBorders>
                    <w:tl2br w:val="nil"/>
                    <w:tr2bl w:val="nil"/>
                  </w:tcBorders>
                  <w:noWrap w:val="0"/>
                  <w:vAlign w:val="center"/>
                </w:tcPr>
                <w:p w14:paraId="57311AD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排放量（t/a）</w:t>
                  </w:r>
                </w:p>
              </w:tc>
              <w:tc>
                <w:tcPr>
                  <w:tcW w:w="391" w:type="dxa"/>
                  <w:tcBorders>
                    <w:tl2br w:val="nil"/>
                    <w:tr2bl w:val="nil"/>
                  </w:tcBorders>
                  <w:noWrap w:val="0"/>
                  <w:vAlign w:val="center"/>
                </w:tcPr>
                <w:p w14:paraId="33569FD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排放方式</w:t>
                  </w:r>
                </w:p>
              </w:tc>
              <w:tc>
                <w:tcPr>
                  <w:tcW w:w="540" w:type="dxa"/>
                  <w:tcBorders>
                    <w:tl2br w:val="nil"/>
                    <w:tr2bl w:val="nil"/>
                  </w:tcBorders>
                  <w:noWrap w:val="0"/>
                  <w:vAlign w:val="center"/>
                </w:tcPr>
                <w:p w14:paraId="65E3983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排放去向</w:t>
                  </w:r>
                </w:p>
              </w:tc>
              <w:tc>
                <w:tcPr>
                  <w:tcW w:w="442" w:type="dxa"/>
                  <w:tcBorders>
                    <w:tl2br w:val="nil"/>
                    <w:tr2bl w:val="nil"/>
                  </w:tcBorders>
                  <w:noWrap w:val="0"/>
                  <w:vAlign w:val="center"/>
                </w:tcPr>
                <w:p w14:paraId="1C134FEF">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b/>
                      <w:bCs/>
                      <w:color w:val="FF0000"/>
                      <w:kern w:val="0"/>
                      <w:sz w:val="21"/>
                      <w:szCs w:val="20"/>
                      <w:lang w:val="en-US" w:eastAsia="zh-CN" w:bidi="ar-SA"/>
                    </w:rPr>
                  </w:pPr>
                  <w:r>
                    <w:rPr>
                      <w:rFonts w:ascii="Times New Roman" w:hAnsi="Times New Roman" w:eastAsia="宋体" w:cs="Times New Roman"/>
                      <w:b/>
                      <w:bCs/>
                      <w:color w:val="FF0000"/>
                      <w:kern w:val="0"/>
                      <w:sz w:val="21"/>
                      <w:szCs w:val="20"/>
                      <w:lang w:val="en-US" w:eastAsia="zh-CN" w:bidi="ar-SA"/>
                    </w:rPr>
                    <w:t>排放规律</w:t>
                  </w:r>
                </w:p>
              </w:tc>
            </w:tr>
            <w:tr w14:paraId="4F0424C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88" w:hRule="atLeast"/>
                <w:jc w:val="center"/>
              </w:trPr>
              <w:tc>
                <w:tcPr>
                  <w:tcW w:w="972" w:type="dxa"/>
                  <w:vMerge w:val="restart"/>
                  <w:tcBorders>
                    <w:tl2br w:val="nil"/>
                    <w:tr2bl w:val="nil"/>
                  </w:tcBorders>
                  <w:noWrap w:val="0"/>
                  <w:vAlign w:val="center"/>
                </w:tcPr>
                <w:p w14:paraId="5FB278B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default" w:ascii="Times New Roman" w:hAnsi="Times New Roman" w:eastAsia="宋体" w:cs="Times New Roman"/>
                      <w:color w:val="FF0000"/>
                      <w:kern w:val="0"/>
                      <w:sz w:val="21"/>
                      <w:szCs w:val="20"/>
                      <w:lang w:val="en-US" w:eastAsia="zh-CN" w:bidi="ar-SA"/>
                    </w:rPr>
                    <w:t>设备清洗废水</w:t>
                  </w:r>
                  <w:r>
                    <w:rPr>
                      <w:rFonts w:hint="eastAsia" w:ascii="Times New Roman" w:hAnsi="Times New Roman" w:eastAsia="宋体" w:cs="Times New Roman"/>
                      <w:color w:val="FF0000"/>
                      <w:kern w:val="0"/>
                      <w:sz w:val="21"/>
                      <w:szCs w:val="20"/>
                      <w:lang w:val="en-US" w:eastAsia="zh-CN" w:bidi="ar-SA"/>
                    </w:rPr>
                    <w:t>（12.96</w:t>
                  </w:r>
                  <w:r>
                    <w:rPr>
                      <w:rFonts w:ascii="Times New Roman" w:hAnsi="Times New Roman" w:eastAsia="宋体" w:cs="Times New Roman"/>
                      <w:color w:val="FF0000"/>
                      <w:kern w:val="0"/>
                      <w:sz w:val="21"/>
                      <w:szCs w:val="20"/>
                      <w:lang w:val="en-US" w:eastAsia="zh-CN" w:bidi="ar-SA"/>
                    </w:rPr>
                    <w:t>t/a</w:t>
                  </w:r>
                  <w:r>
                    <w:rPr>
                      <w:rFonts w:hint="eastAsia" w:ascii="Times New Roman" w:hAnsi="Times New Roman" w:eastAsia="宋体" w:cs="Times New Roman"/>
                      <w:color w:val="FF0000"/>
                      <w:kern w:val="0"/>
                      <w:sz w:val="21"/>
                      <w:szCs w:val="20"/>
                      <w:lang w:val="en-US" w:eastAsia="zh-CN" w:bidi="ar-SA"/>
                    </w:rPr>
                    <w:t>）、试验仪器清洗废水（4</w:t>
                  </w:r>
                  <w:r>
                    <w:rPr>
                      <w:rFonts w:ascii="Times New Roman" w:hAnsi="Times New Roman" w:eastAsia="宋体" w:cs="Times New Roman"/>
                      <w:color w:val="FF0000"/>
                      <w:kern w:val="0"/>
                      <w:sz w:val="21"/>
                      <w:szCs w:val="20"/>
                      <w:lang w:val="en-US" w:eastAsia="zh-CN" w:bidi="ar-SA"/>
                    </w:rPr>
                    <w:t>t/a</w:t>
                  </w:r>
                  <w:r>
                    <w:rPr>
                      <w:rFonts w:hint="eastAsia" w:ascii="Times New Roman" w:hAnsi="Times New Roman" w:eastAsia="宋体" w:cs="Times New Roman"/>
                      <w:color w:val="FF0000"/>
                      <w:kern w:val="0"/>
                      <w:sz w:val="21"/>
                      <w:szCs w:val="20"/>
                      <w:lang w:val="en-US" w:eastAsia="zh-CN" w:bidi="ar-SA"/>
                    </w:rPr>
                    <w:t>）</w:t>
                  </w:r>
                </w:p>
              </w:tc>
              <w:tc>
                <w:tcPr>
                  <w:tcW w:w="744" w:type="dxa"/>
                  <w:tcBorders>
                    <w:tl2br w:val="nil"/>
                    <w:tr2bl w:val="nil"/>
                  </w:tcBorders>
                  <w:noWrap w:val="0"/>
                  <w:vAlign w:val="center"/>
                </w:tcPr>
                <w:p w14:paraId="2ABA34E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废水量</w:t>
                  </w:r>
                </w:p>
              </w:tc>
              <w:tc>
                <w:tcPr>
                  <w:tcW w:w="746" w:type="dxa"/>
                  <w:tcBorders>
                    <w:tl2br w:val="nil"/>
                    <w:tr2bl w:val="nil"/>
                  </w:tcBorders>
                  <w:noWrap w:val="0"/>
                  <w:vAlign w:val="center"/>
                </w:tcPr>
                <w:p w14:paraId="1D464785">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80" w:type="dxa"/>
                  <w:tcBorders>
                    <w:tl2br w:val="nil"/>
                    <w:tr2bl w:val="nil"/>
                  </w:tcBorders>
                  <w:noWrap w:val="0"/>
                  <w:vAlign w:val="center"/>
                </w:tcPr>
                <w:p w14:paraId="61D85DB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16.96</w:t>
                  </w:r>
                </w:p>
              </w:tc>
              <w:tc>
                <w:tcPr>
                  <w:tcW w:w="391" w:type="dxa"/>
                  <w:vMerge w:val="restart"/>
                  <w:tcBorders>
                    <w:tl2br w:val="nil"/>
                    <w:tr2bl w:val="nil"/>
                  </w:tcBorders>
                  <w:noWrap w:val="0"/>
                  <w:vAlign w:val="center"/>
                </w:tcPr>
                <w:p w14:paraId="46D8A27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949" w:type="dxa"/>
                  <w:vMerge w:val="restart"/>
                  <w:tcBorders>
                    <w:tl2br w:val="nil"/>
                    <w:tr2bl w:val="nil"/>
                  </w:tcBorders>
                  <w:noWrap w:val="0"/>
                  <w:vAlign w:val="center"/>
                </w:tcPr>
                <w:p w14:paraId="5395A40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restart"/>
                  <w:tcBorders>
                    <w:tl2br w:val="nil"/>
                    <w:tr2bl w:val="nil"/>
                  </w:tcBorders>
                  <w:noWrap w:val="0"/>
                  <w:vAlign w:val="center"/>
                </w:tcPr>
                <w:p w14:paraId="645DAA30">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488" w:type="dxa"/>
                  <w:vMerge w:val="restart"/>
                  <w:tcBorders>
                    <w:tl2br w:val="nil"/>
                    <w:tr2bl w:val="nil"/>
                  </w:tcBorders>
                  <w:noWrap w:val="0"/>
                  <w:vAlign w:val="center"/>
                </w:tcPr>
                <w:p w14:paraId="50FE2E0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8" w:type="dxa"/>
                  <w:vMerge w:val="restart"/>
                  <w:tcBorders>
                    <w:tl2br w:val="nil"/>
                    <w:tr2bl w:val="nil"/>
                  </w:tcBorders>
                  <w:noWrap w:val="0"/>
                  <w:vAlign w:val="center"/>
                </w:tcPr>
                <w:p w14:paraId="6B01E395">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3" w:type="dxa"/>
                  <w:tcBorders>
                    <w:tl2br w:val="nil"/>
                    <w:tr2bl w:val="nil"/>
                  </w:tcBorders>
                  <w:noWrap w:val="0"/>
                  <w:vAlign w:val="center"/>
                </w:tcPr>
                <w:p w14:paraId="6A43B40A">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29F50B11">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restart"/>
                  <w:tcBorders>
                    <w:tl2br w:val="nil"/>
                    <w:tr2bl w:val="nil"/>
                  </w:tcBorders>
                  <w:noWrap w:val="0"/>
                  <w:vAlign w:val="center"/>
                </w:tcPr>
                <w:p w14:paraId="2C8F4CA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间接排放</w:t>
                  </w:r>
                </w:p>
              </w:tc>
              <w:tc>
                <w:tcPr>
                  <w:tcW w:w="540" w:type="dxa"/>
                  <w:vMerge w:val="restart"/>
                  <w:tcBorders>
                    <w:tl2br w:val="nil"/>
                    <w:tr2bl w:val="nil"/>
                  </w:tcBorders>
                  <w:noWrap w:val="0"/>
                  <w:vAlign w:val="center"/>
                </w:tcPr>
                <w:p w14:paraId="133D0A7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佛坪县污水处理厂</w:t>
                  </w:r>
                </w:p>
              </w:tc>
              <w:tc>
                <w:tcPr>
                  <w:tcW w:w="442" w:type="dxa"/>
                  <w:vMerge w:val="restart"/>
                  <w:tcBorders>
                    <w:tl2br w:val="nil"/>
                    <w:tr2bl w:val="nil"/>
                  </w:tcBorders>
                  <w:noWrap w:val="0"/>
                  <w:vAlign w:val="center"/>
                </w:tcPr>
                <w:p w14:paraId="32073660">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间断排放，流量不稳定</w:t>
                  </w:r>
                </w:p>
              </w:tc>
            </w:tr>
            <w:tr w14:paraId="0C4F35D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38" w:hRule="atLeast"/>
                <w:jc w:val="center"/>
              </w:trPr>
              <w:tc>
                <w:tcPr>
                  <w:tcW w:w="972" w:type="dxa"/>
                  <w:vMerge w:val="continue"/>
                  <w:tcBorders>
                    <w:tl2br w:val="nil"/>
                    <w:tr2bl w:val="nil"/>
                  </w:tcBorders>
                  <w:noWrap w:val="0"/>
                  <w:vAlign w:val="center"/>
                </w:tcPr>
                <w:p w14:paraId="7F4D5BFF">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744" w:type="dxa"/>
                  <w:tcBorders>
                    <w:tl2br w:val="nil"/>
                    <w:tr2bl w:val="nil"/>
                  </w:tcBorders>
                  <w:noWrap w:val="0"/>
                  <w:vAlign w:val="center"/>
                </w:tcPr>
                <w:p w14:paraId="756A0C07">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FF0000"/>
                      <w:sz w:val="21"/>
                    </w:rPr>
                  </w:pPr>
                  <w:r>
                    <w:rPr>
                      <w:rFonts w:hint="default" w:ascii="Times New Roman" w:hAnsi="Times New Roman" w:eastAsia="宋体" w:cs="Times New Roman"/>
                      <w:i w:val="0"/>
                      <w:iCs w:val="0"/>
                      <w:color w:val="FF0000"/>
                      <w:kern w:val="0"/>
                      <w:sz w:val="21"/>
                      <w:szCs w:val="21"/>
                      <w:u w:val="none"/>
                      <w:lang w:val="en-US" w:eastAsia="zh-CN" w:bidi="ar"/>
                    </w:rPr>
                    <w:t>COD</w:t>
                  </w:r>
                </w:p>
              </w:tc>
              <w:tc>
                <w:tcPr>
                  <w:tcW w:w="746" w:type="dxa"/>
                  <w:tcBorders>
                    <w:tl2br w:val="nil"/>
                    <w:tr2bl w:val="nil"/>
                  </w:tcBorders>
                  <w:noWrap w:val="0"/>
                  <w:vAlign w:val="center"/>
                </w:tcPr>
                <w:p w14:paraId="5A6DBC09">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FF0000"/>
                      <w:sz w:val="21"/>
                      <w:lang w:val="en-US" w:eastAsia="zh-CN"/>
                    </w:rPr>
                  </w:pPr>
                  <w:r>
                    <w:rPr>
                      <w:rFonts w:hint="eastAsia" w:ascii="Times New Roman" w:hAnsi="Times New Roman" w:cs="Times New Roman"/>
                      <w:color w:val="FF0000"/>
                      <w:sz w:val="21"/>
                      <w:lang w:val="en-US" w:eastAsia="zh-CN"/>
                    </w:rPr>
                    <w:t>1822.3</w:t>
                  </w:r>
                </w:p>
              </w:tc>
              <w:tc>
                <w:tcPr>
                  <w:tcW w:w="780" w:type="dxa"/>
                  <w:tcBorders>
                    <w:tl2br w:val="nil"/>
                    <w:tr2bl w:val="nil"/>
                  </w:tcBorders>
                  <w:noWrap w:val="0"/>
                  <w:vAlign w:val="center"/>
                </w:tcPr>
                <w:p w14:paraId="6E7AB078">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FF0000"/>
                      <w:sz w:val="21"/>
                      <w:lang w:val="en-US" w:eastAsia="zh-CN"/>
                    </w:rPr>
                  </w:pPr>
                  <w:r>
                    <w:rPr>
                      <w:rFonts w:hint="eastAsia" w:ascii="Times New Roman" w:hAnsi="Times New Roman" w:cs="Times New Roman"/>
                      <w:color w:val="FF0000"/>
                      <w:sz w:val="21"/>
                      <w:lang w:val="en-US" w:eastAsia="zh-CN"/>
                    </w:rPr>
                    <w:t>0.031</w:t>
                  </w:r>
                </w:p>
              </w:tc>
              <w:tc>
                <w:tcPr>
                  <w:tcW w:w="391" w:type="dxa"/>
                  <w:vMerge w:val="continue"/>
                  <w:tcBorders>
                    <w:tl2br w:val="nil"/>
                    <w:tr2bl w:val="nil"/>
                  </w:tcBorders>
                  <w:noWrap w:val="0"/>
                  <w:vAlign w:val="center"/>
                </w:tcPr>
                <w:p w14:paraId="2D4A0060">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949" w:type="dxa"/>
                  <w:vMerge w:val="continue"/>
                  <w:tcBorders>
                    <w:tl2br w:val="nil"/>
                    <w:tr2bl w:val="nil"/>
                  </w:tcBorders>
                  <w:noWrap w:val="0"/>
                  <w:vAlign w:val="center"/>
                </w:tcPr>
                <w:p w14:paraId="3A0ED28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1" w:type="dxa"/>
                  <w:vMerge w:val="continue"/>
                  <w:tcBorders>
                    <w:tl2br w:val="nil"/>
                    <w:tr2bl w:val="nil"/>
                  </w:tcBorders>
                  <w:noWrap w:val="0"/>
                  <w:vAlign w:val="center"/>
                </w:tcPr>
                <w:p w14:paraId="79DD6B8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88" w:type="dxa"/>
                  <w:vMerge w:val="continue"/>
                  <w:tcBorders>
                    <w:tl2br w:val="nil"/>
                    <w:tr2bl w:val="nil"/>
                  </w:tcBorders>
                  <w:noWrap w:val="0"/>
                  <w:vAlign w:val="center"/>
                </w:tcPr>
                <w:p w14:paraId="26F74CEC">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p>
              </w:tc>
              <w:tc>
                <w:tcPr>
                  <w:tcW w:w="398" w:type="dxa"/>
                  <w:vMerge w:val="continue"/>
                  <w:tcBorders>
                    <w:tl2br w:val="nil"/>
                    <w:tr2bl w:val="nil"/>
                  </w:tcBorders>
                  <w:noWrap w:val="0"/>
                  <w:vAlign w:val="center"/>
                </w:tcPr>
                <w:p w14:paraId="12EA48C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5A27B050">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7FDE4C2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center"/>
                </w:tcPr>
                <w:p w14:paraId="1F2311F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center"/>
                </w:tcPr>
                <w:p w14:paraId="02894986">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center"/>
                </w:tcPr>
                <w:p w14:paraId="49B2A82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r>
            <w:tr w14:paraId="3E476DC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38" w:hRule="atLeast"/>
                <w:jc w:val="center"/>
              </w:trPr>
              <w:tc>
                <w:tcPr>
                  <w:tcW w:w="972" w:type="dxa"/>
                  <w:vMerge w:val="continue"/>
                  <w:tcBorders>
                    <w:tl2br w:val="nil"/>
                    <w:tr2bl w:val="nil"/>
                  </w:tcBorders>
                  <w:noWrap w:val="0"/>
                  <w:vAlign w:val="center"/>
                </w:tcPr>
                <w:p w14:paraId="2FF1B646">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744" w:type="dxa"/>
                  <w:tcBorders>
                    <w:tl2br w:val="nil"/>
                    <w:tr2bl w:val="nil"/>
                  </w:tcBorders>
                  <w:noWrap w:val="0"/>
                  <w:vAlign w:val="center"/>
                </w:tcPr>
                <w:p w14:paraId="50152549">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FF0000"/>
                      <w:sz w:val="21"/>
                    </w:rPr>
                  </w:pPr>
                  <w:r>
                    <w:rPr>
                      <w:rFonts w:hint="default" w:ascii="Times New Roman" w:hAnsi="Times New Roman" w:eastAsia="宋体" w:cs="Times New Roman"/>
                      <w:i w:val="0"/>
                      <w:iCs w:val="0"/>
                      <w:color w:val="FF0000"/>
                      <w:kern w:val="0"/>
                      <w:sz w:val="21"/>
                      <w:szCs w:val="21"/>
                      <w:u w:val="none"/>
                      <w:lang w:val="en-US" w:eastAsia="zh-CN" w:bidi="ar"/>
                    </w:rPr>
                    <w:t>BOD</w:t>
                  </w:r>
                  <w:r>
                    <w:rPr>
                      <w:rFonts w:hint="default" w:ascii="Times New Roman" w:hAnsi="Times New Roman" w:eastAsia="宋体" w:cs="Times New Roman"/>
                      <w:i w:val="0"/>
                      <w:iCs w:val="0"/>
                      <w:color w:val="FF0000"/>
                      <w:kern w:val="0"/>
                      <w:sz w:val="21"/>
                      <w:szCs w:val="21"/>
                      <w:u w:val="none"/>
                      <w:vertAlign w:val="subscript"/>
                      <w:lang w:val="en-US" w:eastAsia="zh-CN" w:bidi="ar"/>
                    </w:rPr>
                    <w:t>5</w:t>
                  </w:r>
                </w:p>
              </w:tc>
              <w:tc>
                <w:tcPr>
                  <w:tcW w:w="746" w:type="dxa"/>
                  <w:tcBorders>
                    <w:tl2br w:val="nil"/>
                    <w:tr2bl w:val="nil"/>
                  </w:tcBorders>
                  <w:noWrap w:val="0"/>
                  <w:vAlign w:val="center"/>
                </w:tcPr>
                <w:p w14:paraId="6826D0BD">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FF0000"/>
                      <w:sz w:val="21"/>
                      <w:lang w:val="en-US" w:eastAsia="zh-CN"/>
                    </w:rPr>
                  </w:pPr>
                  <w:r>
                    <w:rPr>
                      <w:rFonts w:hint="eastAsia" w:ascii="Times New Roman" w:hAnsi="Times New Roman" w:cs="Times New Roman"/>
                      <w:color w:val="FF0000"/>
                      <w:sz w:val="21"/>
                      <w:lang w:val="en-US" w:eastAsia="zh-CN"/>
                    </w:rPr>
                    <w:t>911</w:t>
                  </w:r>
                </w:p>
              </w:tc>
              <w:tc>
                <w:tcPr>
                  <w:tcW w:w="780" w:type="dxa"/>
                  <w:tcBorders>
                    <w:tl2br w:val="nil"/>
                    <w:tr2bl w:val="nil"/>
                  </w:tcBorders>
                  <w:noWrap w:val="0"/>
                  <w:vAlign w:val="center"/>
                </w:tcPr>
                <w:p w14:paraId="19CA1119">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FF0000"/>
                      <w:sz w:val="21"/>
                      <w:lang w:val="en-US" w:eastAsia="zh-CN"/>
                    </w:rPr>
                  </w:pPr>
                  <w:r>
                    <w:rPr>
                      <w:rFonts w:hint="eastAsia" w:ascii="Times New Roman" w:hAnsi="Times New Roman" w:cs="Times New Roman"/>
                      <w:color w:val="FF0000"/>
                      <w:sz w:val="21"/>
                      <w:lang w:val="en-US" w:eastAsia="zh-CN"/>
                    </w:rPr>
                    <w:t>0.015</w:t>
                  </w:r>
                </w:p>
              </w:tc>
              <w:tc>
                <w:tcPr>
                  <w:tcW w:w="391" w:type="dxa"/>
                  <w:vMerge w:val="continue"/>
                  <w:tcBorders>
                    <w:tl2br w:val="nil"/>
                    <w:tr2bl w:val="nil"/>
                  </w:tcBorders>
                  <w:noWrap w:val="0"/>
                  <w:vAlign w:val="center"/>
                </w:tcPr>
                <w:p w14:paraId="2225DF60">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949" w:type="dxa"/>
                  <w:vMerge w:val="continue"/>
                  <w:tcBorders>
                    <w:tl2br w:val="nil"/>
                    <w:tr2bl w:val="nil"/>
                  </w:tcBorders>
                  <w:noWrap w:val="0"/>
                  <w:vAlign w:val="center"/>
                </w:tcPr>
                <w:p w14:paraId="1A676767">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1" w:type="dxa"/>
                  <w:vMerge w:val="continue"/>
                  <w:tcBorders>
                    <w:tl2br w:val="nil"/>
                    <w:tr2bl w:val="nil"/>
                  </w:tcBorders>
                  <w:noWrap w:val="0"/>
                  <w:vAlign w:val="center"/>
                </w:tcPr>
                <w:p w14:paraId="5D35EDA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88" w:type="dxa"/>
                  <w:vMerge w:val="continue"/>
                  <w:tcBorders>
                    <w:tl2br w:val="nil"/>
                    <w:tr2bl w:val="nil"/>
                  </w:tcBorders>
                  <w:noWrap w:val="0"/>
                  <w:vAlign w:val="center"/>
                </w:tcPr>
                <w:p w14:paraId="1F5CCF7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p>
              </w:tc>
              <w:tc>
                <w:tcPr>
                  <w:tcW w:w="398" w:type="dxa"/>
                  <w:vMerge w:val="continue"/>
                  <w:tcBorders>
                    <w:tl2br w:val="nil"/>
                    <w:tr2bl w:val="nil"/>
                  </w:tcBorders>
                  <w:noWrap w:val="0"/>
                  <w:vAlign w:val="center"/>
                </w:tcPr>
                <w:p w14:paraId="150BA58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5254D11C">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36382965">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center"/>
                </w:tcPr>
                <w:p w14:paraId="40366BB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center"/>
                </w:tcPr>
                <w:p w14:paraId="75CD31C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center"/>
                </w:tcPr>
                <w:p w14:paraId="4D166D9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r>
            <w:tr w14:paraId="6A01B4F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38" w:hRule="atLeast"/>
                <w:jc w:val="center"/>
              </w:trPr>
              <w:tc>
                <w:tcPr>
                  <w:tcW w:w="972" w:type="dxa"/>
                  <w:vMerge w:val="continue"/>
                  <w:tcBorders>
                    <w:tl2br w:val="nil"/>
                    <w:tr2bl w:val="nil"/>
                  </w:tcBorders>
                  <w:noWrap w:val="0"/>
                  <w:vAlign w:val="center"/>
                </w:tcPr>
                <w:p w14:paraId="6FE622E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p w14:paraId="4ACEE882">
                  <w:pPr>
                    <w:keepNext w:val="0"/>
                    <w:keepLines w:val="0"/>
                    <w:pageBreakBefore w:val="0"/>
                    <w:kinsoku/>
                    <w:wordWrap/>
                    <w:topLinePunct w:val="0"/>
                    <w:autoSpaceDE/>
                    <w:autoSpaceDN/>
                    <w:bidi w:val="0"/>
                    <w:adjustRightInd/>
                    <w:snapToGrid/>
                    <w:spacing w:line="240" w:lineRule="auto"/>
                    <w:ind w:firstLine="0" w:firstLineChars="0"/>
                    <w:jc w:val="center"/>
                    <w:rPr>
                      <w:rFonts w:hint="eastAsia" w:ascii="Times New Roman" w:hAnsi="Times New Roman" w:cs="Times New Roman"/>
                      <w:color w:val="FF0000"/>
                      <w:sz w:val="21"/>
                      <w:lang w:eastAsia="zh-CN"/>
                    </w:rPr>
                  </w:pPr>
                </w:p>
              </w:tc>
              <w:tc>
                <w:tcPr>
                  <w:tcW w:w="744" w:type="dxa"/>
                  <w:tcBorders>
                    <w:tl2br w:val="nil"/>
                    <w:tr2bl w:val="nil"/>
                  </w:tcBorders>
                  <w:noWrap w:val="0"/>
                  <w:vAlign w:val="center"/>
                </w:tcPr>
                <w:p w14:paraId="5EE1180E">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FF0000"/>
                      <w:sz w:val="21"/>
                    </w:rPr>
                  </w:pPr>
                  <w:r>
                    <w:rPr>
                      <w:rFonts w:hint="default" w:ascii="Times New Roman" w:hAnsi="Times New Roman" w:eastAsia="宋体" w:cs="Times New Roman"/>
                      <w:i w:val="0"/>
                      <w:iCs w:val="0"/>
                      <w:color w:val="FF0000"/>
                      <w:kern w:val="0"/>
                      <w:sz w:val="21"/>
                      <w:szCs w:val="21"/>
                      <w:u w:val="none"/>
                      <w:lang w:val="en-US" w:eastAsia="zh-CN" w:bidi="ar"/>
                    </w:rPr>
                    <w:t>SS</w:t>
                  </w:r>
                </w:p>
              </w:tc>
              <w:tc>
                <w:tcPr>
                  <w:tcW w:w="746" w:type="dxa"/>
                  <w:tcBorders>
                    <w:tl2br w:val="nil"/>
                    <w:tr2bl w:val="nil"/>
                  </w:tcBorders>
                  <w:noWrap w:val="0"/>
                  <w:vAlign w:val="center"/>
                </w:tcPr>
                <w:p w14:paraId="0CE02EE0">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FF0000"/>
                      <w:sz w:val="21"/>
                      <w:lang w:val="en-US" w:eastAsia="zh-CN"/>
                    </w:rPr>
                  </w:pPr>
                  <w:r>
                    <w:rPr>
                      <w:rFonts w:hint="eastAsia" w:ascii="Times New Roman" w:hAnsi="Times New Roman" w:cs="Times New Roman"/>
                      <w:color w:val="FF0000"/>
                      <w:sz w:val="21"/>
                      <w:lang w:val="en-US" w:eastAsia="zh-CN"/>
                    </w:rPr>
                    <w:t>500</w:t>
                  </w:r>
                </w:p>
              </w:tc>
              <w:tc>
                <w:tcPr>
                  <w:tcW w:w="780" w:type="dxa"/>
                  <w:tcBorders>
                    <w:tl2br w:val="nil"/>
                    <w:tr2bl w:val="nil"/>
                  </w:tcBorders>
                  <w:noWrap w:val="0"/>
                  <w:vAlign w:val="center"/>
                </w:tcPr>
                <w:p w14:paraId="3046C80E">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FF0000"/>
                      <w:sz w:val="21"/>
                      <w:lang w:val="en-US" w:eastAsia="zh-CN"/>
                    </w:rPr>
                  </w:pPr>
                  <w:r>
                    <w:rPr>
                      <w:rFonts w:hint="eastAsia" w:ascii="Times New Roman" w:hAnsi="Times New Roman" w:cs="Times New Roman"/>
                      <w:color w:val="FF0000"/>
                      <w:sz w:val="21"/>
                      <w:lang w:val="en-US" w:eastAsia="zh-CN"/>
                    </w:rPr>
                    <w:t>0.008</w:t>
                  </w:r>
                </w:p>
              </w:tc>
              <w:tc>
                <w:tcPr>
                  <w:tcW w:w="391" w:type="dxa"/>
                  <w:vMerge w:val="continue"/>
                  <w:tcBorders>
                    <w:tl2br w:val="nil"/>
                    <w:tr2bl w:val="nil"/>
                  </w:tcBorders>
                  <w:noWrap w:val="0"/>
                  <w:vAlign w:val="center"/>
                </w:tcPr>
                <w:p w14:paraId="3767F1B0">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949" w:type="dxa"/>
                  <w:vMerge w:val="continue"/>
                  <w:tcBorders>
                    <w:tl2br w:val="nil"/>
                    <w:tr2bl w:val="nil"/>
                  </w:tcBorders>
                  <w:noWrap w:val="0"/>
                  <w:vAlign w:val="center"/>
                </w:tcPr>
                <w:p w14:paraId="78A0437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1" w:type="dxa"/>
                  <w:vMerge w:val="continue"/>
                  <w:tcBorders>
                    <w:tl2br w:val="nil"/>
                    <w:tr2bl w:val="nil"/>
                  </w:tcBorders>
                  <w:noWrap w:val="0"/>
                  <w:vAlign w:val="center"/>
                </w:tcPr>
                <w:p w14:paraId="32755A5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88" w:type="dxa"/>
                  <w:vMerge w:val="continue"/>
                  <w:tcBorders>
                    <w:tl2br w:val="nil"/>
                    <w:tr2bl w:val="nil"/>
                  </w:tcBorders>
                  <w:noWrap w:val="0"/>
                  <w:vAlign w:val="center"/>
                </w:tcPr>
                <w:p w14:paraId="1EDA3B10">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p>
              </w:tc>
              <w:tc>
                <w:tcPr>
                  <w:tcW w:w="398" w:type="dxa"/>
                  <w:vMerge w:val="continue"/>
                  <w:tcBorders>
                    <w:tl2br w:val="nil"/>
                    <w:tr2bl w:val="nil"/>
                  </w:tcBorders>
                  <w:noWrap w:val="0"/>
                  <w:vAlign w:val="center"/>
                </w:tcPr>
                <w:p w14:paraId="61F0B58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17D63D40">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1795187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center"/>
                </w:tcPr>
                <w:p w14:paraId="1D585BC1">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center"/>
                </w:tcPr>
                <w:p w14:paraId="305910E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center"/>
                </w:tcPr>
                <w:p w14:paraId="2F444F6A">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r>
            <w:tr w14:paraId="05EC38B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38" w:hRule="atLeast"/>
                <w:jc w:val="center"/>
              </w:trPr>
              <w:tc>
                <w:tcPr>
                  <w:tcW w:w="972" w:type="dxa"/>
                  <w:vMerge w:val="continue"/>
                  <w:tcBorders>
                    <w:tl2br w:val="nil"/>
                    <w:tr2bl w:val="nil"/>
                  </w:tcBorders>
                  <w:noWrap w:val="0"/>
                  <w:vAlign w:val="center"/>
                </w:tcPr>
                <w:p w14:paraId="0ABFC52B">
                  <w:pPr>
                    <w:keepNext w:val="0"/>
                    <w:keepLines w:val="0"/>
                    <w:pageBreakBefore w:val="0"/>
                    <w:kinsoku/>
                    <w:wordWrap/>
                    <w:topLinePunct w:val="0"/>
                    <w:autoSpaceDE/>
                    <w:autoSpaceDN/>
                    <w:bidi w:val="0"/>
                    <w:adjustRightInd/>
                    <w:snapToGrid/>
                    <w:spacing w:line="240" w:lineRule="auto"/>
                    <w:ind w:firstLine="0" w:firstLineChars="0"/>
                    <w:jc w:val="center"/>
                    <w:rPr>
                      <w:rFonts w:hint="eastAsia" w:ascii="Times New Roman" w:hAnsi="Times New Roman" w:cs="Times New Roman"/>
                      <w:color w:val="FF0000"/>
                      <w:sz w:val="21"/>
                      <w:lang w:eastAsia="zh-CN"/>
                    </w:rPr>
                  </w:pPr>
                </w:p>
              </w:tc>
              <w:tc>
                <w:tcPr>
                  <w:tcW w:w="744" w:type="dxa"/>
                  <w:tcBorders>
                    <w:tl2br w:val="nil"/>
                    <w:tr2bl w:val="nil"/>
                  </w:tcBorders>
                  <w:noWrap w:val="0"/>
                  <w:vAlign w:val="center"/>
                </w:tcPr>
                <w:p w14:paraId="23DAFEA3">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FF0000"/>
                      <w:kern w:val="2"/>
                      <w:sz w:val="21"/>
                      <w:szCs w:val="24"/>
                      <w:lang w:val="en-US" w:eastAsia="zh-CN" w:bidi="ar-SA"/>
                    </w:rPr>
                  </w:pPr>
                  <w:r>
                    <w:rPr>
                      <w:rFonts w:hint="default" w:ascii="Times New Roman" w:hAnsi="Times New Roman" w:eastAsia="宋体" w:cs="Times New Roman"/>
                      <w:i w:val="0"/>
                      <w:iCs w:val="0"/>
                      <w:color w:val="FF0000"/>
                      <w:kern w:val="0"/>
                      <w:sz w:val="21"/>
                      <w:szCs w:val="21"/>
                      <w:u w:val="none"/>
                      <w:lang w:val="en-US" w:eastAsia="zh-CN" w:bidi="ar"/>
                    </w:rPr>
                    <w:t>NH</w:t>
                  </w:r>
                  <w:r>
                    <w:rPr>
                      <w:rFonts w:hint="default" w:ascii="Times New Roman" w:hAnsi="Times New Roman" w:eastAsia="宋体" w:cs="Times New Roman"/>
                      <w:i w:val="0"/>
                      <w:iCs w:val="0"/>
                      <w:color w:val="FF0000"/>
                      <w:kern w:val="0"/>
                      <w:sz w:val="21"/>
                      <w:szCs w:val="21"/>
                      <w:u w:val="none"/>
                      <w:vertAlign w:val="subscript"/>
                      <w:lang w:val="en-US" w:eastAsia="zh-CN" w:bidi="ar"/>
                    </w:rPr>
                    <w:t>3</w:t>
                  </w:r>
                  <w:r>
                    <w:rPr>
                      <w:rFonts w:hint="default" w:ascii="Times New Roman" w:hAnsi="Times New Roman" w:eastAsia="宋体" w:cs="Times New Roman"/>
                      <w:i w:val="0"/>
                      <w:iCs w:val="0"/>
                      <w:color w:val="FF0000"/>
                      <w:kern w:val="0"/>
                      <w:sz w:val="21"/>
                      <w:szCs w:val="21"/>
                      <w:u w:val="none"/>
                      <w:lang w:val="en-US" w:eastAsia="zh-CN" w:bidi="ar"/>
                    </w:rPr>
                    <w:t>-N</w:t>
                  </w:r>
                </w:p>
              </w:tc>
              <w:tc>
                <w:tcPr>
                  <w:tcW w:w="746" w:type="dxa"/>
                  <w:tcBorders>
                    <w:tl2br w:val="nil"/>
                    <w:tr2bl w:val="nil"/>
                  </w:tcBorders>
                  <w:noWrap w:val="0"/>
                  <w:vAlign w:val="center"/>
                </w:tcPr>
                <w:p w14:paraId="2BC1F56D">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FF0000"/>
                      <w:kern w:val="2"/>
                      <w:sz w:val="21"/>
                      <w:szCs w:val="24"/>
                      <w:lang w:val="en-US" w:eastAsia="zh-CN" w:bidi="ar-SA"/>
                    </w:rPr>
                  </w:pPr>
                  <w:r>
                    <w:rPr>
                      <w:rFonts w:hint="eastAsia" w:ascii="Times New Roman" w:hAnsi="Times New Roman" w:cs="Times New Roman"/>
                      <w:color w:val="FF0000"/>
                      <w:kern w:val="2"/>
                      <w:sz w:val="21"/>
                      <w:szCs w:val="24"/>
                      <w:lang w:val="en-US" w:eastAsia="zh-CN" w:bidi="ar-SA"/>
                    </w:rPr>
                    <w:t>22</w:t>
                  </w:r>
                </w:p>
              </w:tc>
              <w:tc>
                <w:tcPr>
                  <w:tcW w:w="780" w:type="dxa"/>
                  <w:tcBorders>
                    <w:tl2br w:val="nil"/>
                    <w:tr2bl w:val="nil"/>
                  </w:tcBorders>
                  <w:noWrap w:val="0"/>
                  <w:vAlign w:val="center"/>
                </w:tcPr>
                <w:p w14:paraId="2F4FAA9D">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FF0000"/>
                      <w:kern w:val="2"/>
                      <w:sz w:val="21"/>
                      <w:szCs w:val="24"/>
                      <w:lang w:val="en-US" w:eastAsia="zh-CN" w:bidi="ar-SA"/>
                    </w:rPr>
                  </w:pPr>
                  <w:r>
                    <w:rPr>
                      <w:rFonts w:hint="eastAsia" w:ascii="Times New Roman" w:hAnsi="Times New Roman" w:cs="Times New Roman"/>
                      <w:color w:val="FF0000"/>
                      <w:kern w:val="2"/>
                      <w:sz w:val="21"/>
                      <w:szCs w:val="24"/>
                      <w:lang w:val="en-US" w:eastAsia="zh-CN" w:bidi="ar-SA"/>
                    </w:rPr>
                    <w:t>0.0004</w:t>
                  </w:r>
                </w:p>
              </w:tc>
              <w:tc>
                <w:tcPr>
                  <w:tcW w:w="391" w:type="dxa"/>
                  <w:vMerge w:val="continue"/>
                  <w:tcBorders>
                    <w:tl2br w:val="nil"/>
                    <w:tr2bl w:val="nil"/>
                  </w:tcBorders>
                  <w:noWrap w:val="0"/>
                  <w:vAlign w:val="center"/>
                </w:tcPr>
                <w:p w14:paraId="36B0E1A7">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949" w:type="dxa"/>
                  <w:vMerge w:val="continue"/>
                  <w:tcBorders>
                    <w:tl2br w:val="nil"/>
                    <w:tr2bl w:val="nil"/>
                  </w:tcBorders>
                  <w:noWrap w:val="0"/>
                  <w:vAlign w:val="center"/>
                </w:tcPr>
                <w:p w14:paraId="678B78E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1" w:type="dxa"/>
                  <w:vMerge w:val="continue"/>
                  <w:tcBorders>
                    <w:tl2br w:val="nil"/>
                    <w:tr2bl w:val="nil"/>
                  </w:tcBorders>
                  <w:noWrap w:val="0"/>
                  <w:vAlign w:val="center"/>
                </w:tcPr>
                <w:p w14:paraId="7B3F3C7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88" w:type="dxa"/>
                  <w:vMerge w:val="continue"/>
                  <w:tcBorders>
                    <w:tl2br w:val="nil"/>
                    <w:tr2bl w:val="nil"/>
                  </w:tcBorders>
                  <w:noWrap w:val="0"/>
                  <w:vAlign w:val="center"/>
                </w:tcPr>
                <w:p w14:paraId="62FCCCEF">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8" w:type="dxa"/>
                  <w:vMerge w:val="continue"/>
                  <w:tcBorders>
                    <w:tl2br w:val="nil"/>
                    <w:tr2bl w:val="nil"/>
                  </w:tcBorders>
                  <w:noWrap w:val="0"/>
                  <w:vAlign w:val="center"/>
                </w:tcPr>
                <w:p w14:paraId="45E76A7F">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6347454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10724C7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center"/>
                </w:tcPr>
                <w:p w14:paraId="0509AA4A">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center"/>
                </w:tcPr>
                <w:p w14:paraId="4CE6F3DF">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center"/>
                </w:tcPr>
                <w:p w14:paraId="39A3B98F">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r>
            <w:tr w14:paraId="694679C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38" w:hRule="atLeast"/>
                <w:jc w:val="center"/>
              </w:trPr>
              <w:tc>
                <w:tcPr>
                  <w:tcW w:w="972" w:type="dxa"/>
                  <w:vMerge w:val="continue"/>
                  <w:tcBorders>
                    <w:tl2br w:val="nil"/>
                    <w:tr2bl w:val="nil"/>
                  </w:tcBorders>
                  <w:noWrap w:val="0"/>
                  <w:vAlign w:val="center"/>
                </w:tcPr>
                <w:p w14:paraId="3B0473AF">
                  <w:pPr>
                    <w:keepNext w:val="0"/>
                    <w:keepLines w:val="0"/>
                    <w:pageBreakBefore w:val="0"/>
                    <w:kinsoku/>
                    <w:wordWrap/>
                    <w:topLinePunct w:val="0"/>
                    <w:autoSpaceDE/>
                    <w:autoSpaceDN/>
                    <w:bidi w:val="0"/>
                    <w:adjustRightInd/>
                    <w:snapToGrid/>
                    <w:spacing w:line="240" w:lineRule="auto"/>
                    <w:ind w:firstLine="0" w:firstLineChars="0"/>
                    <w:jc w:val="center"/>
                    <w:rPr>
                      <w:rFonts w:hint="eastAsia" w:ascii="Times New Roman" w:hAnsi="Times New Roman" w:cs="Times New Roman"/>
                      <w:color w:val="FF0000"/>
                      <w:sz w:val="21"/>
                      <w:lang w:eastAsia="zh-CN"/>
                    </w:rPr>
                  </w:pPr>
                </w:p>
              </w:tc>
              <w:tc>
                <w:tcPr>
                  <w:tcW w:w="744" w:type="dxa"/>
                  <w:tcBorders>
                    <w:tl2br w:val="nil"/>
                    <w:tr2bl w:val="nil"/>
                  </w:tcBorders>
                  <w:noWrap w:val="0"/>
                  <w:vAlign w:val="center"/>
                </w:tcPr>
                <w:p w14:paraId="18C14EE9">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FF0000"/>
                      <w:kern w:val="0"/>
                      <w:sz w:val="21"/>
                      <w:szCs w:val="21"/>
                      <w:u w:val="none"/>
                      <w:lang w:val="en-US" w:eastAsia="zh-CN" w:bidi="ar"/>
                    </w:rPr>
                  </w:pPr>
                  <w:r>
                    <w:rPr>
                      <w:rFonts w:hint="eastAsia" w:ascii="Times New Roman" w:hAnsi="Times New Roman" w:cs="Times New Roman"/>
                      <w:color w:val="FF0000"/>
                      <w:sz w:val="21"/>
                      <w:lang w:val="en-US" w:eastAsia="zh-CN"/>
                    </w:rPr>
                    <w:t>TN</w:t>
                  </w:r>
                </w:p>
              </w:tc>
              <w:tc>
                <w:tcPr>
                  <w:tcW w:w="746" w:type="dxa"/>
                  <w:tcBorders>
                    <w:tl2br w:val="nil"/>
                    <w:tr2bl w:val="nil"/>
                  </w:tcBorders>
                  <w:noWrap w:val="0"/>
                  <w:vAlign w:val="center"/>
                </w:tcPr>
                <w:p w14:paraId="73D03D2A">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FF0000"/>
                      <w:sz w:val="21"/>
                      <w:lang w:val="en-US" w:eastAsia="zh-CN"/>
                    </w:rPr>
                  </w:pPr>
                  <w:r>
                    <w:rPr>
                      <w:rFonts w:hint="eastAsia" w:ascii="Times New Roman" w:hAnsi="Times New Roman" w:cs="Times New Roman"/>
                      <w:color w:val="FF0000"/>
                      <w:sz w:val="21"/>
                      <w:lang w:val="en-US" w:eastAsia="zh-CN"/>
                    </w:rPr>
                    <w:t>257.3</w:t>
                  </w:r>
                </w:p>
              </w:tc>
              <w:tc>
                <w:tcPr>
                  <w:tcW w:w="780" w:type="dxa"/>
                  <w:tcBorders>
                    <w:tl2br w:val="nil"/>
                    <w:tr2bl w:val="nil"/>
                  </w:tcBorders>
                  <w:noWrap w:val="0"/>
                  <w:vAlign w:val="center"/>
                </w:tcPr>
                <w:p w14:paraId="6A622C47">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FF0000"/>
                      <w:sz w:val="21"/>
                      <w:lang w:val="en-US" w:eastAsia="zh-CN"/>
                    </w:rPr>
                  </w:pPr>
                  <w:r>
                    <w:rPr>
                      <w:rFonts w:hint="eastAsia" w:ascii="Times New Roman" w:hAnsi="Times New Roman" w:cs="Times New Roman"/>
                      <w:color w:val="FF0000"/>
                      <w:sz w:val="21"/>
                      <w:lang w:val="en-US" w:eastAsia="zh-CN"/>
                    </w:rPr>
                    <w:t>0.004</w:t>
                  </w:r>
                </w:p>
              </w:tc>
              <w:tc>
                <w:tcPr>
                  <w:tcW w:w="391" w:type="dxa"/>
                  <w:vMerge w:val="continue"/>
                  <w:tcBorders>
                    <w:tl2br w:val="nil"/>
                    <w:tr2bl w:val="nil"/>
                  </w:tcBorders>
                  <w:noWrap w:val="0"/>
                  <w:vAlign w:val="center"/>
                </w:tcPr>
                <w:p w14:paraId="1C7BE72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949" w:type="dxa"/>
                  <w:vMerge w:val="continue"/>
                  <w:tcBorders>
                    <w:tl2br w:val="nil"/>
                    <w:tr2bl w:val="nil"/>
                  </w:tcBorders>
                  <w:noWrap w:val="0"/>
                  <w:vAlign w:val="center"/>
                </w:tcPr>
                <w:p w14:paraId="110A71C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1" w:type="dxa"/>
                  <w:vMerge w:val="continue"/>
                  <w:tcBorders>
                    <w:tl2br w:val="nil"/>
                    <w:tr2bl w:val="nil"/>
                  </w:tcBorders>
                  <w:noWrap w:val="0"/>
                  <w:vAlign w:val="center"/>
                </w:tcPr>
                <w:p w14:paraId="476FBD20">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88" w:type="dxa"/>
                  <w:vMerge w:val="continue"/>
                  <w:tcBorders>
                    <w:tl2br w:val="nil"/>
                    <w:tr2bl w:val="nil"/>
                  </w:tcBorders>
                  <w:noWrap w:val="0"/>
                  <w:vAlign w:val="center"/>
                </w:tcPr>
                <w:p w14:paraId="490D683B">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8" w:type="dxa"/>
                  <w:vMerge w:val="continue"/>
                  <w:tcBorders>
                    <w:tl2br w:val="nil"/>
                    <w:tr2bl w:val="nil"/>
                  </w:tcBorders>
                  <w:noWrap w:val="0"/>
                  <w:vAlign w:val="center"/>
                </w:tcPr>
                <w:p w14:paraId="0CD8784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32369091">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2D93F51F">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center"/>
                </w:tcPr>
                <w:p w14:paraId="5947BE2A">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center"/>
                </w:tcPr>
                <w:p w14:paraId="57B2E22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center"/>
                </w:tcPr>
                <w:p w14:paraId="2ECD11CC">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r>
            <w:tr w14:paraId="25943E8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38" w:hRule="atLeast"/>
                <w:jc w:val="center"/>
              </w:trPr>
              <w:tc>
                <w:tcPr>
                  <w:tcW w:w="972" w:type="dxa"/>
                  <w:vMerge w:val="continue"/>
                  <w:tcBorders>
                    <w:tl2br w:val="nil"/>
                    <w:tr2bl w:val="nil"/>
                  </w:tcBorders>
                  <w:noWrap w:val="0"/>
                  <w:vAlign w:val="center"/>
                </w:tcPr>
                <w:p w14:paraId="40A12976">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p w14:paraId="7F446B46">
                  <w:pPr>
                    <w:keepNext w:val="0"/>
                    <w:keepLines w:val="0"/>
                    <w:pageBreakBefore w:val="0"/>
                    <w:kinsoku/>
                    <w:wordWrap/>
                    <w:topLinePunct w:val="0"/>
                    <w:autoSpaceDE/>
                    <w:autoSpaceDN/>
                    <w:bidi w:val="0"/>
                    <w:adjustRightInd/>
                    <w:snapToGrid/>
                    <w:spacing w:line="240" w:lineRule="auto"/>
                    <w:ind w:firstLine="0" w:firstLineChars="0"/>
                    <w:jc w:val="center"/>
                    <w:rPr>
                      <w:rFonts w:hint="eastAsia" w:ascii="Times New Roman" w:hAnsi="Times New Roman" w:cs="Times New Roman"/>
                      <w:color w:val="FF0000"/>
                      <w:sz w:val="21"/>
                      <w:lang w:eastAsia="zh-CN"/>
                    </w:rPr>
                  </w:pPr>
                </w:p>
              </w:tc>
              <w:tc>
                <w:tcPr>
                  <w:tcW w:w="744" w:type="dxa"/>
                  <w:tcBorders>
                    <w:tl2br w:val="nil"/>
                    <w:tr2bl w:val="nil"/>
                  </w:tcBorders>
                  <w:noWrap w:val="0"/>
                  <w:vAlign w:val="center"/>
                </w:tcPr>
                <w:p w14:paraId="45265E89">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FF0000"/>
                      <w:sz w:val="21"/>
                      <w:lang w:val="en-US" w:eastAsia="zh-CN"/>
                    </w:rPr>
                  </w:pPr>
                  <w:r>
                    <w:rPr>
                      <w:rFonts w:hint="eastAsia" w:ascii="Times New Roman" w:hAnsi="Times New Roman" w:cs="Times New Roman"/>
                      <w:i w:val="0"/>
                      <w:iCs w:val="0"/>
                      <w:color w:val="FF0000"/>
                      <w:kern w:val="0"/>
                      <w:sz w:val="21"/>
                      <w:szCs w:val="21"/>
                      <w:u w:val="none"/>
                      <w:lang w:val="en-US" w:eastAsia="zh-CN" w:bidi="ar"/>
                    </w:rPr>
                    <w:t>TP</w:t>
                  </w:r>
                </w:p>
              </w:tc>
              <w:tc>
                <w:tcPr>
                  <w:tcW w:w="746" w:type="dxa"/>
                  <w:tcBorders>
                    <w:tl2br w:val="nil"/>
                    <w:tr2bl w:val="nil"/>
                  </w:tcBorders>
                  <w:noWrap w:val="0"/>
                  <w:vAlign w:val="center"/>
                </w:tcPr>
                <w:p w14:paraId="304A3E7D">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FF0000"/>
                      <w:sz w:val="21"/>
                      <w:lang w:val="en-US" w:eastAsia="zh-CN"/>
                    </w:rPr>
                  </w:pPr>
                  <w:r>
                    <w:rPr>
                      <w:rFonts w:hint="eastAsia" w:ascii="Times New Roman" w:hAnsi="Times New Roman" w:cs="Times New Roman"/>
                      <w:color w:val="FF0000"/>
                      <w:sz w:val="21"/>
                      <w:lang w:val="en-US" w:eastAsia="zh-CN"/>
                    </w:rPr>
                    <w:t>63.8</w:t>
                  </w:r>
                </w:p>
              </w:tc>
              <w:tc>
                <w:tcPr>
                  <w:tcW w:w="780" w:type="dxa"/>
                  <w:tcBorders>
                    <w:tl2br w:val="nil"/>
                    <w:tr2bl w:val="nil"/>
                  </w:tcBorders>
                  <w:noWrap w:val="0"/>
                  <w:vAlign w:val="center"/>
                </w:tcPr>
                <w:p w14:paraId="76B460FE">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FF0000"/>
                      <w:sz w:val="21"/>
                      <w:lang w:val="en-US" w:eastAsia="zh-CN"/>
                    </w:rPr>
                  </w:pPr>
                  <w:r>
                    <w:rPr>
                      <w:rFonts w:hint="eastAsia" w:ascii="Times New Roman" w:hAnsi="Times New Roman" w:cs="Times New Roman"/>
                      <w:color w:val="FF0000"/>
                      <w:sz w:val="21"/>
                      <w:lang w:val="en-US" w:eastAsia="zh-CN"/>
                    </w:rPr>
                    <w:t>0.001</w:t>
                  </w:r>
                </w:p>
              </w:tc>
              <w:tc>
                <w:tcPr>
                  <w:tcW w:w="391" w:type="dxa"/>
                  <w:vMerge w:val="continue"/>
                  <w:tcBorders>
                    <w:tl2br w:val="nil"/>
                    <w:tr2bl w:val="nil"/>
                  </w:tcBorders>
                  <w:noWrap w:val="0"/>
                  <w:vAlign w:val="center"/>
                </w:tcPr>
                <w:p w14:paraId="6916C5DB">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949" w:type="dxa"/>
                  <w:vMerge w:val="continue"/>
                  <w:tcBorders>
                    <w:tl2br w:val="nil"/>
                    <w:tr2bl w:val="nil"/>
                  </w:tcBorders>
                  <w:noWrap w:val="0"/>
                  <w:vAlign w:val="center"/>
                </w:tcPr>
                <w:p w14:paraId="354A305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1" w:type="dxa"/>
                  <w:vMerge w:val="continue"/>
                  <w:tcBorders>
                    <w:tl2br w:val="nil"/>
                    <w:tr2bl w:val="nil"/>
                  </w:tcBorders>
                  <w:noWrap w:val="0"/>
                  <w:vAlign w:val="center"/>
                </w:tcPr>
                <w:p w14:paraId="789B3D8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88" w:type="dxa"/>
                  <w:vMerge w:val="continue"/>
                  <w:tcBorders>
                    <w:tl2br w:val="nil"/>
                    <w:tr2bl w:val="nil"/>
                  </w:tcBorders>
                  <w:noWrap w:val="0"/>
                  <w:vAlign w:val="center"/>
                </w:tcPr>
                <w:p w14:paraId="2087B48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8" w:type="dxa"/>
                  <w:vMerge w:val="continue"/>
                  <w:tcBorders>
                    <w:tl2br w:val="nil"/>
                    <w:tr2bl w:val="nil"/>
                  </w:tcBorders>
                  <w:noWrap w:val="0"/>
                  <w:vAlign w:val="center"/>
                </w:tcPr>
                <w:p w14:paraId="106341D5">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598BE4C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1967C26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center"/>
                </w:tcPr>
                <w:p w14:paraId="6752621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center"/>
                </w:tcPr>
                <w:p w14:paraId="4D8E7105">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center"/>
                </w:tcPr>
                <w:p w14:paraId="17060D5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r>
            <w:tr w14:paraId="2CA8AAE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94" w:hRule="atLeast"/>
                <w:jc w:val="center"/>
              </w:trPr>
              <w:tc>
                <w:tcPr>
                  <w:tcW w:w="972" w:type="dxa"/>
                  <w:vMerge w:val="restart"/>
                  <w:tcBorders>
                    <w:tl2br w:val="nil"/>
                    <w:tr2bl w:val="nil"/>
                  </w:tcBorders>
                  <w:noWrap w:val="0"/>
                  <w:vAlign w:val="center"/>
                </w:tcPr>
                <w:p w14:paraId="42FCB9E1">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空瓶清洗废水（96</w:t>
                  </w:r>
                  <w:r>
                    <w:rPr>
                      <w:rFonts w:ascii="Times New Roman" w:hAnsi="Times New Roman" w:eastAsia="宋体" w:cs="Times New Roman"/>
                      <w:color w:val="FF0000"/>
                      <w:kern w:val="0"/>
                      <w:sz w:val="21"/>
                      <w:szCs w:val="20"/>
                      <w:lang w:val="en-US" w:eastAsia="zh-CN" w:bidi="ar-SA"/>
                    </w:rPr>
                    <w:t>t/a</w:t>
                  </w:r>
                  <w:r>
                    <w:rPr>
                      <w:rFonts w:hint="eastAsia" w:ascii="Times New Roman" w:hAnsi="Times New Roman" w:eastAsia="宋体" w:cs="Times New Roman"/>
                      <w:color w:val="FF0000"/>
                      <w:kern w:val="0"/>
                      <w:sz w:val="21"/>
                      <w:szCs w:val="20"/>
                      <w:lang w:val="en-US" w:eastAsia="zh-CN" w:bidi="ar-SA"/>
                    </w:rPr>
                    <w:t>）、纯水制备浓水（</w:t>
                  </w:r>
                  <w:r>
                    <w:rPr>
                      <w:rFonts w:hint="eastAsia" w:cs="Times New Roman"/>
                      <w:color w:val="FF0000"/>
                      <w:kern w:val="0"/>
                      <w:sz w:val="21"/>
                      <w:szCs w:val="20"/>
                      <w:lang w:val="en-US" w:eastAsia="zh-CN" w:bidi="ar-SA"/>
                    </w:rPr>
                    <w:t>8</w:t>
                  </w:r>
                  <w:r>
                    <w:rPr>
                      <w:rFonts w:hint="eastAsia" w:ascii="Times New Roman" w:hAnsi="Times New Roman" w:eastAsia="宋体" w:cs="Times New Roman"/>
                      <w:color w:val="FF0000"/>
                      <w:kern w:val="0"/>
                      <w:sz w:val="21"/>
                      <w:szCs w:val="20"/>
                      <w:lang w:val="en-US" w:eastAsia="zh-CN" w:bidi="ar-SA"/>
                    </w:rPr>
                    <w:t>8</w:t>
                  </w:r>
                  <w:r>
                    <w:rPr>
                      <w:rFonts w:ascii="Times New Roman" w:hAnsi="Times New Roman" w:eastAsia="宋体" w:cs="Times New Roman"/>
                      <w:color w:val="FF0000"/>
                      <w:kern w:val="0"/>
                      <w:sz w:val="21"/>
                      <w:szCs w:val="20"/>
                      <w:lang w:val="en-US" w:eastAsia="zh-CN" w:bidi="ar-SA"/>
                    </w:rPr>
                    <w:t>t/a</w:t>
                  </w:r>
                  <w:r>
                    <w:rPr>
                      <w:rFonts w:hint="eastAsia" w:ascii="Times New Roman" w:hAnsi="Times New Roman" w:eastAsia="宋体" w:cs="Times New Roman"/>
                      <w:color w:val="FF0000"/>
                      <w:kern w:val="0"/>
                      <w:sz w:val="21"/>
                      <w:szCs w:val="20"/>
                      <w:lang w:val="en-US" w:eastAsia="zh-CN" w:bidi="ar-SA"/>
                    </w:rPr>
                    <w:t>）</w:t>
                  </w:r>
                </w:p>
              </w:tc>
              <w:tc>
                <w:tcPr>
                  <w:tcW w:w="744" w:type="dxa"/>
                  <w:tcBorders>
                    <w:tl2br w:val="nil"/>
                    <w:tr2bl w:val="nil"/>
                  </w:tcBorders>
                  <w:noWrap w:val="0"/>
                  <w:vAlign w:val="center"/>
                </w:tcPr>
                <w:p w14:paraId="48262D6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废水量</w:t>
                  </w:r>
                </w:p>
              </w:tc>
              <w:tc>
                <w:tcPr>
                  <w:tcW w:w="746" w:type="dxa"/>
                  <w:tcBorders>
                    <w:tl2br w:val="nil"/>
                    <w:tr2bl w:val="nil"/>
                  </w:tcBorders>
                  <w:noWrap w:val="0"/>
                  <w:vAlign w:val="center"/>
                </w:tcPr>
                <w:p w14:paraId="5B381AF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80" w:type="dxa"/>
                  <w:tcBorders>
                    <w:tl2br w:val="nil"/>
                    <w:tr2bl w:val="nil"/>
                  </w:tcBorders>
                  <w:noWrap w:val="0"/>
                  <w:vAlign w:val="center"/>
                </w:tcPr>
                <w:p w14:paraId="418CC27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1</w:t>
                  </w:r>
                  <w:r>
                    <w:rPr>
                      <w:rFonts w:hint="eastAsia" w:cs="Times New Roman"/>
                      <w:color w:val="FF0000"/>
                      <w:kern w:val="0"/>
                      <w:sz w:val="21"/>
                      <w:szCs w:val="20"/>
                      <w:lang w:val="en-US" w:eastAsia="zh-CN" w:bidi="ar-SA"/>
                    </w:rPr>
                    <w:t>8</w:t>
                  </w:r>
                  <w:r>
                    <w:rPr>
                      <w:rFonts w:hint="eastAsia" w:ascii="Times New Roman" w:hAnsi="Times New Roman" w:eastAsia="宋体" w:cs="Times New Roman"/>
                      <w:color w:val="FF0000"/>
                      <w:kern w:val="0"/>
                      <w:sz w:val="21"/>
                      <w:szCs w:val="20"/>
                      <w:lang w:val="en-US" w:eastAsia="zh-CN" w:bidi="ar-SA"/>
                    </w:rPr>
                    <w:t>4</w:t>
                  </w:r>
                </w:p>
              </w:tc>
              <w:tc>
                <w:tcPr>
                  <w:tcW w:w="391" w:type="dxa"/>
                  <w:vMerge w:val="restart"/>
                  <w:tcBorders>
                    <w:tl2br w:val="nil"/>
                    <w:tr2bl w:val="nil"/>
                  </w:tcBorders>
                  <w:noWrap w:val="0"/>
                  <w:vAlign w:val="center"/>
                </w:tcPr>
                <w:p w14:paraId="24E0718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949" w:type="dxa"/>
                  <w:vMerge w:val="restart"/>
                  <w:tcBorders>
                    <w:tl2br w:val="nil"/>
                    <w:tr2bl w:val="nil"/>
                  </w:tcBorders>
                  <w:noWrap w:val="0"/>
                  <w:vAlign w:val="center"/>
                </w:tcPr>
                <w:p w14:paraId="2FE5F21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restart"/>
                  <w:tcBorders>
                    <w:tl2br w:val="nil"/>
                    <w:tr2bl w:val="nil"/>
                  </w:tcBorders>
                  <w:noWrap w:val="0"/>
                  <w:vAlign w:val="center"/>
                </w:tcPr>
                <w:p w14:paraId="66793EF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488" w:type="dxa"/>
                  <w:vMerge w:val="restart"/>
                  <w:tcBorders>
                    <w:tl2br w:val="nil"/>
                    <w:tr2bl w:val="nil"/>
                  </w:tcBorders>
                  <w:noWrap w:val="0"/>
                  <w:vAlign w:val="center"/>
                </w:tcPr>
                <w:p w14:paraId="3457510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8" w:type="dxa"/>
                  <w:vMerge w:val="continue"/>
                  <w:tcBorders>
                    <w:tl2br w:val="nil"/>
                    <w:tr2bl w:val="nil"/>
                  </w:tcBorders>
                  <w:noWrap w:val="0"/>
                  <w:vAlign w:val="center"/>
                </w:tcPr>
                <w:p w14:paraId="3C6FAFC5">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783E3FC6">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0F2DB791">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center"/>
                </w:tcPr>
                <w:p w14:paraId="290ABE7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center"/>
                </w:tcPr>
                <w:p w14:paraId="4EBC7E81">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center"/>
                </w:tcPr>
                <w:p w14:paraId="7B31CFAB">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r>
            <w:tr w14:paraId="1BDD186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94" w:hRule="atLeast"/>
                <w:jc w:val="center"/>
              </w:trPr>
              <w:tc>
                <w:tcPr>
                  <w:tcW w:w="972" w:type="dxa"/>
                  <w:vMerge w:val="continue"/>
                  <w:tcBorders>
                    <w:tl2br w:val="nil"/>
                    <w:tr2bl w:val="nil"/>
                  </w:tcBorders>
                  <w:noWrap w:val="0"/>
                  <w:vAlign w:val="center"/>
                </w:tcPr>
                <w:p w14:paraId="256F66D5">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744" w:type="dxa"/>
                  <w:tcBorders>
                    <w:tl2br w:val="nil"/>
                    <w:tr2bl w:val="nil"/>
                  </w:tcBorders>
                  <w:noWrap w:val="0"/>
                  <w:vAlign w:val="center"/>
                </w:tcPr>
                <w:p w14:paraId="4584117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r>
                    <w:rPr>
                      <w:rFonts w:hint="default" w:ascii="Times New Roman" w:hAnsi="Times New Roman" w:eastAsia="宋体" w:cs="Times New Roman"/>
                      <w:color w:val="FF0000"/>
                      <w:kern w:val="0"/>
                      <w:sz w:val="21"/>
                      <w:szCs w:val="20"/>
                      <w:lang w:val="en-US" w:eastAsia="zh-CN" w:bidi="ar-SA"/>
                    </w:rPr>
                    <w:t>COD</w:t>
                  </w:r>
                </w:p>
              </w:tc>
              <w:tc>
                <w:tcPr>
                  <w:tcW w:w="746" w:type="dxa"/>
                  <w:tcBorders>
                    <w:tl2br w:val="nil"/>
                    <w:tr2bl w:val="nil"/>
                  </w:tcBorders>
                  <w:noWrap w:val="0"/>
                  <w:vAlign w:val="center"/>
                </w:tcPr>
                <w:p w14:paraId="6143757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60</w:t>
                  </w:r>
                </w:p>
              </w:tc>
              <w:tc>
                <w:tcPr>
                  <w:tcW w:w="780" w:type="dxa"/>
                  <w:tcBorders>
                    <w:tl2br w:val="nil"/>
                    <w:tr2bl w:val="nil"/>
                  </w:tcBorders>
                  <w:noWrap w:val="0"/>
                  <w:vAlign w:val="center"/>
                </w:tcPr>
                <w:p w14:paraId="6601E54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0.0</w:t>
                  </w:r>
                  <w:r>
                    <w:rPr>
                      <w:rFonts w:hint="eastAsia" w:cs="Times New Roman"/>
                      <w:color w:val="FF0000"/>
                      <w:kern w:val="0"/>
                      <w:sz w:val="21"/>
                      <w:szCs w:val="20"/>
                      <w:lang w:val="en-US" w:eastAsia="zh-CN" w:bidi="ar-SA"/>
                    </w:rPr>
                    <w:t>11</w:t>
                  </w:r>
                </w:p>
              </w:tc>
              <w:tc>
                <w:tcPr>
                  <w:tcW w:w="391" w:type="dxa"/>
                  <w:vMerge w:val="continue"/>
                  <w:tcBorders>
                    <w:tl2br w:val="nil"/>
                    <w:tr2bl w:val="nil"/>
                  </w:tcBorders>
                  <w:noWrap w:val="0"/>
                  <w:vAlign w:val="center"/>
                </w:tcPr>
                <w:p w14:paraId="30B14C3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949" w:type="dxa"/>
                  <w:vMerge w:val="continue"/>
                  <w:tcBorders>
                    <w:tl2br w:val="nil"/>
                    <w:tr2bl w:val="nil"/>
                  </w:tcBorders>
                  <w:noWrap w:val="0"/>
                  <w:vAlign w:val="center"/>
                </w:tcPr>
                <w:p w14:paraId="0FF9D110">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1" w:type="dxa"/>
                  <w:vMerge w:val="continue"/>
                  <w:tcBorders>
                    <w:tl2br w:val="nil"/>
                    <w:tr2bl w:val="nil"/>
                  </w:tcBorders>
                  <w:noWrap w:val="0"/>
                  <w:vAlign w:val="center"/>
                </w:tcPr>
                <w:p w14:paraId="763F5A25">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88" w:type="dxa"/>
                  <w:vMerge w:val="continue"/>
                  <w:tcBorders>
                    <w:tl2br w:val="nil"/>
                    <w:tr2bl w:val="nil"/>
                  </w:tcBorders>
                  <w:noWrap w:val="0"/>
                  <w:vAlign w:val="center"/>
                </w:tcPr>
                <w:p w14:paraId="53AD135C">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p>
              </w:tc>
              <w:tc>
                <w:tcPr>
                  <w:tcW w:w="398" w:type="dxa"/>
                  <w:vMerge w:val="continue"/>
                  <w:tcBorders>
                    <w:tl2br w:val="nil"/>
                    <w:tr2bl w:val="nil"/>
                  </w:tcBorders>
                  <w:noWrap w:val="0"/>
                  <w:vAlign w:val="center"/>
                </w:tcPr>
                <w:p w14:paraId="3A035ED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1FD0D70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00CA6907">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center"/>
                </w:tcPr>
                <w:p w14:paraId="696029F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center"/>
                </w:tcPr>
                <w:p w14:paraId="696C9B3B">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center"/>
                </w:tcPr>
                <w:p w14:paraId="527F149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r>
            <w:tr w14:paraId="2DCDA03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94" w:hRule="atLeast"/>
                <w:jc w:val="center"/>
              </w:trPr>
              <w:tc>
                <w:tcPr>
                  <w:tcW w:w="972" w:type="dxa"/>
                  <w:vMerge w:val="continue"/>
                  <w:tcBorders>
                    <w:tl2br w:val="nil"/>
                    <w:tr2bl w:val="nil"/>
                  </w:tcBorders>
                  <w:noWrap w:val="0"/>
                  <w:vAlign w:val="center"/>
                </w:tcPr>
                <w:p w14:paraId="3247AE7B">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744" w:type="dxa"/>
                  <w:tcBorders>
                    <w:tl2br w:val="nil"/>
                    <w:tr2bl w:val="nil"/>
                  </w:tcBorders>
                  <w:noWrap w:val="0"/>
                  <w:vAlign w:val="center"/>
                </w:tcPr>
                <w:p w14:paraId="5A70584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r>
                    <w:rPr>
                      <w:rFonts w:hint="default" w:ascii="Times New Roman" w:hAnsi="Times New Roman" w:eastAsia="宋体" w:cs="Times New Roman"/>
                      <w:color w:val="FF0000"/>
                      <w:kern w:val="0"/>
                      <w:sz w:val="21"/>
                      <w:szCs w:val="20"/>
                      <w:lang w:val="en-US" w:eastAsia="zh-CN" w:bidi="ar-SA"/>
                    </w:rPr>
                    <w:t>SS</w:t>
                  </w:r>
                </w:p>
              </w:tc>
              <w:tc>
                <w:tcPr>
                  <w:tcW w:w="746" w:type="dxa"/>
                  <w:tcBorders>
                    <w:tl2br w:val="nil"/>
                    <w:tr2bl w:val="nil"/>
                  </w:tcBorders>
                  <w:noWrap w:val="0"/>
                  <w:vAlign w:val="center"/>
                </w:tcPr>
                <w:p w14:paraId="0A4D024B">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3</w:t>
                  </w:r>
                  <w:r>
                    <w:rPr>
                      <w:rFonts w:hint="default" w:ascii="Times New Roman" w:hAnsi="Times New Roman" w:eastAsia="宋体" w:cs="Times New Roman"/>
                      <w:color w:val="FF0000"/>
                      <w:kern w:val="0"/>
                      <w:sz w:val="21"/>
                      <w:szCs w:val="20"/>
                      <w:lang w:val="en-US" w:eastAsia="zh-CN" w:bidi="ar-SA"/>
                    </w:rPr>
                    <w:t>0</w:t>
                  </w:r>
                </w:p>
              </w:tc>
              <w:tc>
                <w:tcPr>
                  <w:tcW w:w="780" w:type="dxa"/>
                  <w:tcBorders>
                    <w:tl2br w:val="nil"/>
                    <w:tr2bl w:val="nil"/>
                  </w:tcBorders>
                  <w:noWrap w:val="0"/>
                  <w:vAlign w:val="center"/>
                </w:tcPr>
                <w:p w14:paraId="697A7B31">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0.00</w:t>
                  </w:r>
                  <w:r>
                    <w:rPr>
                      <w:rFonts w:hint="eastAsia" w:cs="Times New Roman"/>
                      <w:color w:val="FF0000"/>
                      <w:kern w:val="0"/>
                      <w:sz w:val="21"/>
                      <w:szCs w:val="20"/>
                      <w:lang w:val="en-US" w:eastAsia="zh-CN" w:bidi="ar-SA"/>
                    </w:rPr>
                    <w:t>55</w:t>
                  </w:r>
                </w:p>
              </w:tc>
              <w:tc>
                <w:tcPr>
                  <w:tcW w:w="391" w:type="dxa"/>
                  <w:vMerge w:val="continue"/>
                  <w:tcBorders>
                    <w:tl2br w:val="nil"/>
                    <w:tr2bl w:val="nil"/>
                  </w:tcBorders>
                  <w:noWrap w:val="0"/>
                  <w:vAlign w:val="center"/>
                </w:tcPr>
                <w:p w14:paraId="240311F1">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949" w:type="dxa"/>
                  <w:vMerge w:val="continue"/>
                  <w:tcBorders>
                    <w:tl2br w:val="nil"/>
                    <w:tr2bl w:val="nil"/>
                  </w:tcBorders>
                  <w:noWrap w:val="0"/>
                  <w:vAlign w:val="center"/>
                </w:tcPr>
                <w:p w14:paraId="7E68D75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1" w:type="dxa"/>
                  <w:vMerge w:val="continue"/>
                  <w:tcBorders>
                    <w:tl2br w:val="nil"/>
                    <w:tr2bl w:val="nil"/>
                  </w:tcBorders>
                  <w:noWrap w:val="0"/>
                  <w:vAlign w:val="center"/>
                </w:tcPr>
                <w:p w14:paraId="71F638A5">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88" w:type="dxa"/>
                  <w:vMerge w:val="continue"/>
                  <w:tcBorders>
                    <w:tl2br w:val="nil"/>
                    <w:tr2bl w:val="nil"/>
                  </w:tcBorders>
                  <w:noWrap w:val="0"/>
                  <w:vAlign w:val="center"/>
                </w:tcPr>
                <w:p w14:paraId="6CB7E6F0">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p>
              </w:tc>
              <w:tc>
                <w:tcPr>
                  <w:tcW w:w="398" w:type="dxa"/>
                  <w:vMerge w:val="continue"/>
                  <w:tcBorders>
                    <w:tl2br w:val="nil"/>
                    <w:tr2bl w:val="nil"/>
                  </w:tcBorders>
                  <w:noWrap w:val="0"/>
                  <w:vAlign w:val="center"/>
                </w:tcPr>
                <w:p w14:paraId="32A08970">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7F034E76">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5B3AB585">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center"/>
                </w:tcPr>
                <w:p w14:paraId="040DD03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center"/>
                </w:tcPr>
                <w:p w14:paraId="50724D9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center"/>
                </w:tcPr>
                <w:p w14:paraId="0548E2C6">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r>
            <w:tr w14:paraId="7DA1585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0" w:hRule="atLeast"/>
                <w:jc w:val="center"/>
              </w:trPr>
              <w:tc>
                <w:tcPr>
                  <w:tcW w:w="972" w:type="dxa"/>
                  <w:vMerge w:val="restart"/>
                  <w:tcBorders>
                    <w:tl2br w:val="nil"/>
                    <w:tr2bl w:val="nil"/>
                  </w:tcBorders>
                  <w:noWrap w:val="0"/>
                  <w:vAlign w:val="center"/>
                </w:tcPr>
                <w:p w14:paraId="21D8E7F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混合废水</w:t>
                  </w:r>
                </w:p>
              </w:tc>
              <w:tc>
                <w:tcPr>
                  <w:tcW w:w="744" w:type="dxa"/>
                  <w:tcBorders>
                    <w:tl2br w:val="nil"/>
                    <w:tr2bl w:val="nil"/>
                  </w:tcBorders>
                  <w:noWrap w:val="0"/>
                  <w:vAlign w:val="center"/>
                </w:tcPr>
                <w:p w14:paraId="67CFDB6B">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2"/>
                      <w:sz w:val="21"/>
                      <w:szCs w:val="21"/>
                      <w:lang w:val="en-US" w:eastAsia="zh-CN" w:bidi="ar-SA"/>
                    </w:rPr>
                  </w:pPr>
                  <w:r>
                    <w:rPr>
                      <w:rFonts w:hint="eastAsia" w:ascii="Times New Roman" w:hAnsi="Times New Roman" w:eastAsia="宋体" w:cs="Times New Roman"/>
                      <w:color w:val="FF0000"/>
                      <w:kern w:val="0"/>
                      <w:sz w:val="21"/>
                      <w:szCs w:val="20"/>
                      <w:lang w:val="en-US" w:eastAsia="zh-CN" w:bidi="ar-SA"/>
                    </w:rPr>
                    <w:t>废水量</w:t>
                  </w:r>
                </w:p>
              </w:tc>
              <w:tc>
                <w:tcPr>
                  <w:tcW w:w="746" w:type="dxa"/>
                  <w:tcBorders>
                    <w:tl2br w:val="nil"/>
                    <w:tr2bl w:val="nil"/>
                  </w:tcBorders>
                  <w:noWrap w:val="0"/>
                  <w:vAlign w:val="center"/>
                </w:tcPr>
                <w:p w14:paraId="2D7D7BE1">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80" w:type="dxa"/>
                  <w:tcBorders>
                    <w:tl2br w:val="nil"/>
                    <w:tr2bl w:val="nil"/>
                  </w:tcBorders>
                  <w:noWrap w:val="0"/>
                  <w:vAlign w:val="center"/>
                </w:tcPr>
                <w:p w14:paraId="3A8B0A06">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cs="Times New Roman"/>
                      <w:color w:val="FF0000"/>
                      <w:kern w:val="0"/>
                      <w:sz w:val="21"/>
                      <w:szCs w:val="20"/>
                      <w:lang w:val="en-US" w:eastAsia="zh-CN" w:bidi="ar-SA"/>
                    </w:rPr>
                    <w:t>200</w:t>
                  </w:r>
                  <w:r>
                    <w:rPr>
                      <w:rFonts w:hint="eastAsia" w:ascii="Times New Roman" w:hAnsi="Times New Roman" w:eastAsia="宋体" w:cs="Times New Roman"/>
                      <w:color w:val="FF0000"/>
                      <w:kern w:val="0"/>
                      <w:sz w:val="21"/>
                      <w:szCs w:val="20"/>
                      <w:lang w:val="en-US" w:eastAsia="zh-CN" w:bidi="ar-SA"/>
                    </w:rPr>
                    <w:t>.96</w:t>
                  </w:r>
                </w:p>
              </w:tc>
              <w:tc>
                <w:tcPr>
                  <w:tcW w:w="391" w:type="dxa"/>
                  <w:vMerge w:val="restart"/>
                  <w:tcBorders>
                    <w:tl2br w:val="nil"/>
                    <w:tr2bl w:val="nil"/>
                  </w:tcBorders>
                  <w:noWrap w:val="0"/>
                  <w:vAlign w:val="center"/>
                </w:tcPr>
                <w:p w14:paraId="5E0E0706">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949" w:type="dxa"/>
                  <w:vMerge w:val="restart"/>
                  <w:tcBorders>
                    <w:tl2br w:val="nil"/>
                    <w:tr2bl w:val="nil"/>
                  </w:tcBorders>
                  <w:noWrap w:val="0"/>
                  <w:vAlign w:val="center"/>
                </w:tcPr>
                <w:p w14:paraId="33BD235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restart"/>
                  <w:tcBorders>
                    <w:tl2br w:val="nil"/>
                    <w:tr2bl w:val="nil"/>
                  </w:tcBorders>
                  <w:noWrap w:val="0"/>
                  <w:vAlign w:val="center"/>
                </w:tcPr>
                <w:p w14:paraId="5F4C352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488" w:type="dxa"/>
                  <w:vMerge w:val="restart"/>
                  <w:tcBorders>
                    <w:tl2br w:val="nil"/>
                    <w:tr2bl w:val="nil"/>
                  </w:tcBorders>
                  <w:noWrap w:val="0"/>
                  <w:vAlign w:val="center"/>
                </w:tcPr>
                <w:p w14:paraId="158FF9F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8" w:type="dxa"/>
                  <w:vMerge w:val="continue"/>
                  <w:tcBorders>
                    <w:tl2br w:val="nil"/>
                    <w:tr2bl w:val="nil"/>
                  </w:tcBorders>
                  <w:noWrap w:val="0"/>
                  <w:vAlign w:val="center"/>
                </w:tcPr>
                <w:p w14:paraId="5E69AA3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631D121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72BB756C">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center"/>
                </w:tcPr>
                <w:p w14:paraId="486B457B">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center"/>
                </w:tcPr>
                <w:p w14:paraId="581E30A1">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center"/>
                </w:tcPr>
                <w:p w14:paraId="3C7A4EEA">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r>
            <w:tr w14:paraId="253AC92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8" w:hRule="atLeast"/>
                <w:jc w:val="center"/>
              </w:trPr>
              <w:tc>
                <w:tcPr>
                  <w:tcW w:w="972" w:type="dxa"/>
                  <w:vMerge w:val="continue"/>
                  <w:tcBorders>
                    <w:tl2br w:val="nil"/>
                    <w:tr2bl w:val="nil"/>
                  </w:tcBorders>
                  <w:noWrap w:val="0"/>
                  <w:vAlign w:val="top"/>
                </w:tcPr>
                <w:p w14:paraId="2F8D319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744" w:type="dxa"/>
                  <w:tcBorders>
                    <w:tl2br w:val="nil"/>
                    <w:tr2bl w:val="nil"/>
                  </w:tcBorders>
                  <w:noWrap w:val="0"/>
                  <w:vAlign w:val="center"/>
                </w:tcPr>
                <w:p w14:paraId="6CA9A86C">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i w:val="0"/>
                      <w:iCs w:val="0"/>
                      <w:color w:val="FF0000"/>
                      <w:kern w:val="0"/>
                      <w:sz w:val="21"/>
                      <w:szCs w:val="21"/>
                      <w:u w:val="none"/>
                      <w:lang w:val="en-US" w:eastAsia="zh-CN" w:bidi="ar"/>
                    </w:rPr>
                    <w:t>COD</w:t>
                  </w:r>
                </w:p>
              </w:tc>
              <w:tc>
                <w:tcPr>
                  <w:tcW w:w="746" w:type="dxa"/>
                  <w:tcBorders>
                    <w:tl2br w:val="nil"/>
                    <w:tr2bl w:val="nil"/>
                  </w:tcBorders>
                  <w:noWrap w:val="0"/>
                  <w:vAlign w:val="center"/>
                </w:tcPr>
                <w:p w14:paraId="62D17AF7">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cs="Times New Roman"/>
                      <w:color w:val="FF0000"/>
                      <w:kern w:val="0"/>
                      <w:sz w:val="21"/>
                      <w:szCs w:val="20"/>
                      <w:lang w:val="en-US" w:eastAsia="zh-CN" w:bidi="ar-SA"/>
                    </w:rPr>
                  </w:pPr>
                  <w:r>
                    <w:rPr>
                      <w:rFonts w:hint="eastAsia" w:cs="Times New Roman"/>
                      <w:color w:val="FF0000"/>
                      <w:kern w:val="0"/>
                      <w:sz w:val="21"/>
                      <w:szCs w:val="20"/>
                      <w:lang w:val="en-US" w:eastAsia="zh-CN" w:bidi="ar-SA"/>
                    </w:rPr>
                    <w:t xml:space="preserve">209 </w:t>
                  </w:r>
                </w:p>
              </w:tc>
              <w:tc>
                <w:tcPr>
                  <w:tcW w:w="780" w:type="dxa"/>
                  <w:tcBorders>
                    <w:tl2br w:val="nil"/>
                    <w:tr2bl w:val="nil"/>
                  </w:tcBorders>
                  <w:noWrap w:val="0"/>
                  <w:vAlign w:val="center"/>
                </w:tcPr>
                <w:p w14:paraId="59618E4A">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 xml:space="preserve">0.042 </w:t>
                  </w:r>
                </w:p>
              </w:tc>
              <w:tc>
                <w:tcPr>
                  <w:tcW w:w="391" w:type="dxa"/>
                  <w:vMerge w:val="continue"/>
                  <w:tcBorders>
                    <w:tl2br w:val="nil"/>
                    <w:tr2bl w:val="nil"/>
                  </w:tcBorders>
                  <w:noWrap w:val="0"/>
                  <w:vAlign w:val="center"/>
                </w:tcPr>
                <w:p w14:paraId="6468DDEB">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949" w:type="dxa"/>
                  <w:vMerge w:val="continue"/>
                  <w:tcBorders>
                    <w:tl2br w:val="nil"/>
                    <w:tr2bl w:val="nil"/>
                  </w:tcBorders>
                  <w:noWrap w:val="0"/>
                  <w:vAlign w:val="center"/>
                </w:tcPr>
                <w:p w14:paraId="4721FC4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1" w:type="dxa"/>
                  <w:vMerge w:val="continue"/>
                  <w:tcBorders>
                    <w:tl2br w:val="nil"/>
                    <w:tr2bl w:val="nil"/>
                  </w:tcBorders>
                  <w:noWrap w:val="0"/>
                  <w:vAlign w:val="center"/>
                </w:tcPr>
                <w:p w14:paraId="0B0E4070">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88" w:type="dxa"/>
                  <w:vMerge w:val="continue"/>
                  <w:tcBorders>
                    <w:tl2br w:val="nil"/>
                    <w:tr2bl w:val="nil"/>
                  </w:tcBorders>
                  <w:noWrap w:val="0"/>
                  <w:vAlign w:val="center"/>
                </w:tcPr>
                <w:p w14:paraId="3349294F">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p>
              </w:tc>
              <w:tc>
                <w:tcPr>
                  <w:tcW w:w="398" w:type="dxa"/>
                  <w:vMerge w:val="continue"/>
                  <w:tcBorders>
                    <w:tl2br w:val="nil"/>
                    <w:tr2bl w:val="nil"/>
                  </w:tcBorders>
                  <w:noWrap w:val="0"/>
                  <w:vAlign w:val="center"/>
                </w:tcPr>
                <w:p w14:paraId="22B01DFC">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51C8AC8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2CD10CD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top"/>
                </w:tcPr>
                <w:p w14:paraId="57BC2396">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top"/>
                </w:tcPr>
                <w:p w14:paraId="6BF3ACA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top"/>
                </w:tcPr>
                <w:p w14:paraId="1BCC94B5">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r>
            <w:tr w14:paraId="1AD839A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8" w:hRule="atLeast"/>
                <w:jc w:val="center"/>
              </w:trPr>
              <w:tc>
                <w:tcPr>
                  <w:tcW w:w="972" w:type="dxa"/>
                  <w:vMerge w:val="continue"/>
                  <w:tcBorders>
                    <w:tl2br w:val="nil"/>
                    <w:tr2bl w:val="nil"/>
                  </w:tcBorders>
                  <w:noWrap w:val="0"/>
                  <w:vAlign w:val="top"/>
                </w:tcPr>
                <w:p w14:paraId="5E9EB2E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744" w:type="dxa"/>
                  <w:tcBorders>
                    <w:tl2br w:val="nil"/>
                    <w:tr2bl w:val="nil"/>
                  </w:tcBorders>
                  <w:noWrap w:val="0"/>
                  <w:vAlign w:val="center"/>
                </w:tcPr>
                <w:p w14:paraId="3B9F6350">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i w:val="0"/>
                      <w:iCs w:val="0"/>
                      <w:color w:val="FF0000"/>
                      <w:kern w:val="0"/>
                      <w:sz w:val="21"/>
                      <w:szCs w:val="21"/>
                      <w:u w:val="none"/>
                      <w:lang w:val="en-US" w:eastAsia="zh-CN" w:bidi="ar"/>
                    </w:rPr>
                    <w:t>BOD</w:t>
                  </w:r>
                  <w:r>
                    <w:rPr>
                      <w:rFonts w:hint="default" w:ascii="Times New Roman" w:hAnsi="Times New Roman" w:eastAsia="宋体" w:cs="Times New Roman"/>
                      <w:color w:val="FF0000"/>
                      <w:sz w:val="21"/>
                      <w:szCs w:val="21"/>
                      <w:u w:val="none"/>
                      <w:vertAlign w:val="subscript"/>
                      <w:lang w:val="en-US" w:eastAsia="zh-CN" w:bidi="ar"/>
                    </w:rPr>
                    <w:t>5</w:t>
                  </w:r>
                </w:p>
              </w:tc>
              <w:tc>
                <w:tcPr>
                  <w:tcW w:w="746" w:type="dxa"/>
                  <w:tcBorders>
                    <w:tl2br w:val="nil"/>
                    <w:tr2bl w:val="nil"/>
                  </w:tcBorders>
                  <w:noWrap w:val="0"/>
                  <w:vAlign w:val="center"/>
                </w:tcPr>
                <w:p w14:paraId="1746857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cs="Times New Roman"/>
                      <w:color w:val="FF0000"/>
                      <w:kern w:val="0"/>
                      <w:sz w:val="21"/>
                      <w:szCs w:val="20"/>
                      <w:lang w:val="en-US" w:eastAsia="zh-CN" w:bidi="ar-SA"/>
                    </w:rPr>
                  </w:pPr>
                  <w:r>
                    <w:rPr>
                      <w:rFonts w:hint="eastAsia" w:cs="Times New Roman"/>
                      <w:color w:val="FF0000"/>
                      <w:kern w:val="0"/>
                      <w:sz w:val="21"/>
                      <w:szCs w:val="20"/>
                      <w:lang w:val="en-US" w:eastAsia="zh-CN" w:bidi="ar-SA"/>
                    </w:rPr>
                    <w:t xml:space="preserve">77 </w:t>
                  </w:r>
                </w:p>
              </w:tc>
              <w:tc>
                <w:tcPr>
                  <w:tcW w:w="780" w:type="dxa"/>
                  <w:tcBorders>
                    <w:tl2br w:val="nil"/>
                    <w:tr2bl w:val="nil"/>
                  </w:tcBorders>
                  <w:noWrap w:val="0"/>
                  <w:vAlign w:val="center"/>
                </w:tcPr>
                <w:p w14:paraId="61F5FCAC">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 xml:space="preserve">0.015 </w:t>
                  </w:r>
                </w:p>
              </w:tc>
              <w:tc>
                <w:tcPr>
                  <w:tcW w:w="391" w:type="dxa"/>
                  <w:vMerge w:val="continue"/>
                  <w:tcBorders>
                    <w:tl2br w:val="nil"/>
                    <w:tr2bl w:val="nil"/>
                  </w:tcBorders>
                  <w:noWrap w:val="0"/>
                  <w:vAlign w:val="center"/>
                </w:tcPr>
                <w:p w14:paraId="6D9AF29A">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949" w:type="dxa"/>
                  <w:vMerge w:val="continue"/>
                  <w:tcBorders>
                    <w:tl2br w:val="nil"/>
                    <w:tr2bl w:val="nil"/>
                  </w:tcBorders>
                  <w:noWrap w:val="0"/>
                  <w:vAlign w:val="center"/>
                </w:tcPr>
                <w:p w14:paraId="79FC9F71">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1" w:type="dxa"/>
                  <w:vMerge w:val="continue"/>
                  <w:tcBorders>
                    <w:tl2br w:val="nil"/>
                    <w:tr2bl w:val="nil"/>
                  </w:tcBorders>
                  <w:noWrap w:val="0"/>
                  <w:vAlign w:val="center"/>
                </w:tcPr>
                <w:p w14:paraId="762A222B">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88" w:type="dxa"/>
                  <w:vMerge w:val="continue"/>
                  <w:tcBorders>
                    <w:tl2br w:val="nil"/>
                    <w:tr2bl w:val="nil"/>
                  </w:tcBorders>
                  <w:noWrap w:val="0"/>
                  <w:vAlign w:val="center"/>
                </w:tcPr>
                <w:p w14:paraId="7D14DCF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p>
              </w:tc>
              <w:tc>
                <w:tcPr>
                  <w:tcW w:w="398" w:type="dxa"/>
                  <w:vMerge w:val="continue"/>
                  <w:tcBorders>
                    <w:tl2br w:val="nil"/>
                    <w:tr2bl w:val="nil"/>
                  </w:tcBorders>
                  <w:noWrap w:val="0"/>
                  <w:vAlign w:val="center"/>
                </w:tcPr>
                <w:p w14:paraId="108793F1">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1E5D2F3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03C3D9B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top"/>
                </w:tcPr>
                <w:p w14:paraId="4C23577A">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top"/>
                </w:tcPr>
                <w:p w14:paraId="6DC7916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top"/>
                </w:tcPr>
                <w:p w14:paraId="17FF55C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r>
            <w:tr w14:paraId="78EBED0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8" w:hRule="atLeast"/>
                <w:jc w:val="center"/>
              </w:trPr>
              <w:tc>
                <w:tcPr>
                  <w:tcW w:w="972" w:type="dxa"/>
                  <w:vMerge w:val="continue"/>
                  <w:tcBorders>
                    <w:tl2br w:val="nil"/>
                    <w:tr2bl w:val="nil"/>
                  </w:tcBorders>
                  <w:noWrap w:val="0"/>
                  <w:vAlign w:val="top"/>
                </w:tcPr>
                <w:p w14:paraId="51BF1D9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744" w:type="dxa"/>
                  <w:tcBorders>
                    <w:tl2br w:val="nil"/>
                    <w:tr2bl w:val="nil"/>
                  </w:tcBorders>
                  <w:noWrap w:val="0"/>
                  <w:vAlign w:val="center"/>
                </w:tcPr>
                <w:p w14:paraId="15813CA8">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i w:val="0"/>
                      <w:iCs w:val="0"/>
                      <w:color w:val="FF0000"/>
                      <w:kern w:val="0"/>
                      <w:sz w:val="21"/>
                      <w:szCs w:val="21"/>
                      <w:u w:val="none"/>
                      <w:lang w:val="en-US" w:eastAsia="zh-CN" w:bidi="ar"/>
                    </w:rPr>
                    <w:t>SS</w:t>
                  </w:r>
                </w:p>
              </w:tc>
              <w:tc>
                <w:tcPr>
                  <w:tcW w:w="746" w:type="dxa"/>
                  <w:tcBorders>
                    <w:tl2br w:val="nil"/>
                    <w:tr2bl w:val="nil"/>
                  </w:tcBorders>
                  <w:noWrap w:val="0"/>
                  <w:vAlign w:val="center"/>
                </w:tcPr>
                <w:p w14:paraId="449FB48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cs="Times New Roman"/>
                      <w:color w:val="FF0000"/>
                      <w:kern w:val="0"/>
                      <w:sz w:val="21"/>
                      <w:szCs w:val="20"/>
                      <w:lang w:val="en-US" w:eastAsia="zh-CN" w:bidi="ar-SA"/>
                    </w:rPr>
                  </w:pPr>
                  <w:r>
                    <w:rPr>
                      <w:rFonts w:hint="eastAsia" w:cs="Times New Roman"/>
                      <w:color w:val="FF0000"/>
                      <w:kern w:val="0"/>
                      <w:sz w:val="21"/>
                      <w:szCs w:val="20"/>
                      <w:lang w:val="en-US" w:eastAsia="zh-CN" w:bidi="ar-SA"/>
                    </w:rPr>
                    <w:t xml:space="preserve">70 </w:t>
                  </w:r>
                </w:p>
              </w:tc>
              <w:tc>
                <w:tcPr>
                  <w:tcW w:w="780" w:type="dxa"/>
                  <w:tcBorders>
                    <w:tl2br w:val="nil"/>
                    <w:tr2bl w:val="nil"/>
                  </w:tcBorders>
                  <w:noWrap w:val="0"/>
                  <w:vAlign w:val="center"/>
                </w:tcPr>
                <w:p w14:paraId="4D96538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 xml:space="preserve">0.014 </w:t>
                  </w:r>
                </w:p>
              </w:tc>
              <w:tc>
                <w:tcPr>
                  <w:tcW w:w="391" w:type="dxa"/>
                  <w:vMerge w:val="continue"/>
                  <w:tcBorders>
                    <w:tl2br w:val="nil"/>
                    <w:tr2bl w:val="nil"/>
                  </w:tcBorders>
                  <w:noWrap w:val="0"/>
                  <w:vAlign w:val="center"/>
                </w:tcPr>
                <w:p w14:paraId="4D5947BA">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949" w:type="dxa"/>
                  <w:vMerge w:val="continue"/>
                  <w:tcBorders>
                    <w:tl2br w:val="nil"/>
                    <w:tr2bl w:val="nil"/>
                  </w:tcBorders>
                  <w:noWrap w:val="0"/>
                  <w:vAlign w:val="center"/>
                </w:tcPr>
                <w:p w14:paraId="2CA5C4B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1" w:type="dxa"/>
                  <w:vMerge w:val="continue"/>
                  <w:tcBorders>
                    <w:tl2br w:val="nil"/>
                    <w:tr2bl w:val="nil"/>
                  </w:tcBorders>
                  <w:noWrap w:val="0"/>
                  <w:vAlign w:val="center"/>
                </w:tcPr>
                <w:p w14:paraId="6950710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88" w:type="dxa"/>
                  <w:vMerge w:val="continue"/>
                  <w:tcBorders>
                    <w:tl2br w:val="nil"/>
                    <w:tr2bl w:val="nil"/>
                  </w:tcBorders>
                  <w:noWrap w:val="0"/>
                  <w:vAlign w:val="center"/>
                </w:tcPr>
                <w:p w14:paraId="2655EC9A">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p>
              </w:tc>
              <w:tc>
                <w:tcPr>
                  <w:tcW w:w="398" w:type="dxa"/>
                  <w:vMerge w:val="continue"/>
                  <w:tcBorders>
                    <w:tl2br w:val="nil"/>
                    <w:tr2bl w:val="nil"/>
                  </w:tcBorders>
                  <w:noWrap w:val="0"/>
                  <w:vAlign w:val="center"/>
                </w:tcPr>
                <w:p w14:paraId="313F75CF">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5B1B0CEC">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58F6EAC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top"/>
                </w:tcPr>
                <w:p w14:paraId="557A8AE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top"/>
                </w:tcPr>
                <w:p w14:paraId="147B7447">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top"/>
                </w:tcPr>
                <w:p w14:paraId="1533AD47">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r>
            <w:tr w14:paraId="37635F2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92" w:hRule="atLeast"/>
                <w:jc w:val="center"/>
              </w:trPr>
              <w:tc>
                <w:tcPr>
                  <w:tcW w:w="972" w:type="dxa"/>
                  <w:vMerge w:val="continue"/>
                  <w:tcBorders>
                    <w:tl2br w:val="nil"/>
                    <w:tr2bl w:val="nil"/>
                  </w:tcBorders>
                  <w:noWrap w:val="0"/>
                  <w:vAlign w:val="top"/>
                </w:tcPr>
                <w:p w14:paraId="378BA80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744" w:type="dxa"/>
                  <w:tcBorders>
                    <w:tl2br w:val="nil"/>
                    <w:tr2bl w:val="nil"/>
                  </w:tcBorders>
                  <w:noWrap w:val="0"/>
                  <w:vAlign w:val="center"/>
                </w:tcPr>
                <w:p w14:paraId="761088CA">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i w:val="0"/>
                      <w:iCs w:val="0"/>
                      <w:color w:val="FF0000"/>
                      <w:kern w:val="0"/>
                      <w:sz w:val="21"/>
                      <w:szCs w:val="21"/>
                      <w:u w:val="none"/>
                      <w:lang w:val="en-US" w:eastAsia="zh-CN" w:bidi="ar"/>
                    </w:rPr>
                    <w:t>NH</w:t>
                  </w:r>
                  <w:r>
                    <w:rPr>
                      <w:rFonts w:hint="default" w:ascii="Times New Roman" w:hAnsi="Times New Roman" w:eastAsia="宋体" w:cs="Times New Roman"/>
                      <w:color w:val="FF0000"/>
                      <w:sz w:val="21"/>
                      <w:szCs w:val="21"/>
                      <w:u w:val="none"/>
                      <w:vertAlign w:val="subscript"/>
                      <w:lang w:val="en-US" w:eastAsia="zh-CN" w:bidi="ar"/>
                    </w:rPr>
                    <w:t>3</w:t>
                  </w:r>
                  <w:r>
                    <w:rPr>
                      <w:rFonts w:hint="default" w:ascii="Times New Roman" w:hAnsi="Times New Roman" w:eastAsia="宋体" w:cs="Times New Roman"/>
                      <w:color w:val="FF0000"/>
                      <w:sz w:val="21"/>
                      <w:szCs w:val="21"/>
                      <w:u w:val="none"/>
                      <w:lang w:val="en-US" w:eastAsia="zh-CN" w:bidi="ar"/>
                    </w:rPr>
                    <w:t>-N</w:t>
                  </w:r>
                </w:p>
              </w:tc>
              <w:tc>
                <w:tcPr>
                  <w:tcW w:w="746" w:type="dxa"/>
                  <w:tcBorders>
                    <w:tl2br w:val="nil"/>
                    <w:tr2bl w:val="nil"/>
                  </w:tcBorders>
                  <w:noWrap w:val="0"/>
                  <w:vAlign w:val="center"/>
                </w:tcPr>
                <w:p w14:paraId="491B7C5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cs="Times New Roman"/>
                      <w:color w:val="FF0000"/>
                      <w:kern w:val="0"/>
                      <w:sz w:val="21"/>
                      <w:szCs w:val="20"/>
                      <w:lang w:val="en-US" w:eastAsia="zh-CN" w:bidi="ar-SA"/>
                    </w:rPr>
                  </w:pPr>
                  <w:r>
                    <w:rPr>
                      <w:rFonts w:hint="eastAsia" w:cs="Times New Roman"/>
                      <w:color w:val="FF0000"/>
                      <w:kern w:val="0"/>
                      <w:sz w:val="21"/>
                      <w:szCs w:val="20"/>
                      <w:lang w:val="en-US" w:eastAsia="zh-CN" w:bidi="ar-SA"/>
                    </w:rPr>
                    <w:t xml:space="preserve">2 </w:t>
                  </w:r>
                </w:p>
              </w:tc>
              <w:tc>
                <w:tcPr>
                  <w:tcW w:w="780" w:type="dxa"/>
                  <w:tcBorders>
                    <w:tl2br w:val="nil"/>
                    <w:tr2bl w:val="nil"/>
                  </w:tcBorders>
                  <w:noWrap w:val="0"/>
                  <w:vAlign w:val="center"/>
                </w:tcPr>
                <w:p w14:paraId="1BAB944F">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 xml:space="preserve">0.0004 </w:t>
                  </w:r>
                </w:p>
              </w:tc>
              <w:tc>
                <w:tcPr>
                  <w:tcW w:w="391" w:type="dxa"/>
                  <w:vMerge w:val="continue"/>
                  <w:tcBorders>
                    <w:tl2br w:val="nil"/>
                    <w:tr2bl w:val="nil"/>
                  </w:tcBorders>
                  <w:noWrap w:val="0"/>
                  <w:vAlign w:val="center"/>
                </w:tcPr>
                <w:p w14:paraId="5D40362C">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949" w:type="dxa"/>
                  <w:vMerge w:val="continue"/>
                  <w:tcBorders>
                    <w:tl2br w:val="nil"/>
                    <w:tr2bl w:val="nil"/>
                  </w:tcBorders>
                  <w:noWrap w:val="0"/>
                  <w:vAlign w:val="center"/>
                </w:tcPr>
                <w:p w14:paraId="5881324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1" w:type="dxa"/>
                  <w:vMerge w:val="continue"/>
                  <w:tcBorders>
                    <w:tl2br w:val="nil"/>
                    <w:tr2bl w:val="nil"/>
                  </w:tcBorders>
                  <w:noWrap w:val="0"/>
                  <w:vAlign w:val="center"/>
                </w:tcPr>
                <w:p w14:paraId="545F03E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88" w:type="dxa"/>
                  <w:vMerge w:val="continue"/>
                  <w:tcBorders>
                    <w:tl2br w:val="nil"/>
                    <w:tr2bl w:val="nil"/>
                  </w:tcBorders>
                  <w:noWrap w:val="0"/>
                  <w:vAlign w:val="center"/>
                </w:tcPr>
                <w:p w14:paraId="012C744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p>
              </w:tc>
              <w:tc>
                <w:tcPr>
                  <w:tcW w:w="398" w:type="dxa"/>
                  <w:vMerge w:val="continue"/>
                  <w:tcBorders>
                    <w:tl2br w:val="nil"/>
                    <w:tr2bl w:val="nil"/>
                  </w:tcBorders>
                  <w:noWrap w:val="0"/>
                  <w:vAlign w:val="center"/>
                </w:tcPr>
                <w:p w14:paraId="2EF9317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6CEF2C1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5DB7825B">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top"/>
                </w:tcPr>
                <w:p w14:paraId="79587586">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top"/>
                </w:tcPr>
                <w:p w14:paraId="1E3D7E8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top"/>
                </w:tcPr>
                <w:p w14:paraId="3ABCD2F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r>
            <w:tr w14:paraId="38279D7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8" w:hRule="atLeast"/>
                <w:jc w:val="center"/>
              </w:trPr>
              <w:tc>
                <w:tcPr>
                  <w:tcW w:w="972" w:type="dxa"/>
                  <w:vMerge w:val="continue"/>
                  <w:tcBorders>
                    <w:tl2br w:val="nil"/>
                    <w:tr2bl w:val="nil"/>
                  </w:tcBorders>
                  <w:noWrap w:val="0"/>
                  <w:vAlign w:val="top"/>
                </w:tcPr>
                <w:p w14:paraId="49042D2D">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744" w:type="dxa"/>
                  <w:tcBorders>
                    <w:tl2br w:val="nil"/>
                    <w:tr2bl w:val="nil"/>
                  </w:tcBorders>
                  <w:noWrap w:val="0"/>
                  <w:vAlign w:val="center"/>
                </w:tcPr>
                <w:p w14:paraId="058871D3">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FF0000"/>
                      <w:kern w:val="2"/>
                      <w:sz w:val="21"/>
                      <w:szCs w:val="21"/>
                      <w:lang w:val="en-US" w:eastAsia="zh-CN" w:bidi="ar-SA"/>
                    </w:rPr>
                  </w:pPr>
                  <w:r>
                    <w:rPr>
                      <w:rFonts w:hint="eastAsia" w:ascii="Times New Roman" w:hAnsi="Times New Roman" w:cs="Times New Roman"/>
                      <w:color w:val="FF0000"/>
                      <w:sz w:val="21"/>
                      <w:lang w:val="en-US" w:eastAsia="zh-CN"/>
                    </w:rPr>
                    <w:t>TN</w:t>
                  </w:r>
                </w:p>
              </w:tc>
              <w:tc>
                <w:tcPr>
                  <w:tcW w:w="746" w:type="dxa"/>
                  <w:tcBorders>
                    <w:tl2br w:val="nil"/>
                    <w:tr2bl w:val="nil"/>
                  </w:tcBorders>
                  <w:noWrap w:val="0"/>
                  <w:vAlign w:val="center"/>
                </w:tcPr>
                <w:p w14:paraId="62D1F08C">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cs="Times New Roman"/>
                      <w:color w:val="FF0000"/>
                      <w:kern w:val="0"/>
                      <w:sz w:val="21"/>
                      <w:szCs w:val="20"/>
                      <w:lang w:val="en-US" w:eastAsia="zh-CN" w:bidi="ar-SA"/>
                    </w:rPr>
                  </w:pPr>
                  <w:r>
                    <w:rPr>
                      <w:rFonts w:hint="eastAsia" w:cs="Times New Roman"/>
                      <w:color w:val="FF0000"/>
                      <w:kern w:val="0"/>
                      <w:sz w:val="21"/>
                      <w:szCs w:val="20"/>
                      <w:lang w:val="en-US" w:eastAsia="zh-CN" w:bidi="ar-SA"/>
                    </w:rPr>
                    <w:t xml:space="preserve">22 </w:t>
                  </w:r>
                </w:p>
              </w:tc>
              <w:tc>
                <w:tcPr>
                  <w:tcW w:w="780" w:type="dxa"/>
                  <w:tcBorders>
                    <w:tl2br w:val="nil"/>
                    <w:tr2bl w:val="nil"/>
                  </w:tcBorders>
                  <w:noWrap w:val="0"/>
                  <w:vAlign w:val="center"/>
                </w:tcPr>
                <w:p w14:paraId="440A33C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 xml:space="preserve">0.004 </w:t>
                  </w:r>
                </w:p>
              </w:tc>
              <w:tc>
                <w:tcPr>
                  <w:tcW w:w="391" w:type="dxa"/>
                  <w:vMerge w:val="continue"/>
                  <w:tcBorders>
                    <w:tl2br w:val="nil"/>
                    <w:tr2bl w:val="nil"/>
                  </w:tcBorders>
                  <w:noWrap w:val="0"/>
                  <w:vAlign w:val="center"/>
                </w:tcPr>
                <w:p w14:paraId="1335C2F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949" w:type="dxa"/>
                  <w:vMerge w:val="continue"/>
                  <w:tcBorders>
                    <w:tl2br w:val="nil"/>
                    <w:tr2bl w:val="nil"/>
                  </w:tcBorders>
                  <w:noWrap w:val="0"/>
                  <w:vAlign w:val="center"/>
                </w:tcPr>
                <w:p w14:paraId="574F7D75">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1" w:type="dxa"/>
                  <w:vMerge w:val="continue"/>
                  <w:tcBorders>
                    <w:tl2br w:val="nil"/>
                    <w:tr2bl w:val="nil"/>
                  </w:tcBorders>
                  <w:noWrap w:val="0"/>
                  <w:vAlign w:val="center"/>
                </w:tcPr>
                <w:p w14:paraId="5EAC6A1E">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88" w:type="dxa"/>
                  <w:vMerge w:val="continue"/>
                  <w:tcBorders>
                    <w:tl2br w:val="nil"/>
                    <w:tr2bl w:val="nil"/>
                  </w:tcBorders>
                  <w:noWrap w:val="0"/>
                  <w:vAlign w:val="center"/>
                </w:tcPr>
                <w:p w14:paraId="26DF2D3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p>
              </w:tc>
              <w:tc>
                <w:tcPr>
                  <w:tcW w:w="398" w:type="dxa"/>
                  <w:vMerge w:val="continue"/>
                  <w:tcBorders>
                    <w:tl2br w:val="nil"/>
                    <w:tr2bl w:val="nil"/>
                  </w:tcBorders>
                  <w:noWrap w:val="0"/>
                  <w:vAlign w:val="center"/>
                </w:tcPr>
                <w:p w14:paraId="67516F15">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5329543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7FDE6ED9">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top"/>
                </w:tcPr>
                <w:p w14:paraId="5C3E163C">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top"/>
                </w:tcPr>
                <w:p w14:paraId="7F032D4A">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top"/>
                </w:tcPr>
                <w:p w14:paraId="4EFF75DB">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r>
            <w:tr w14:paraId="560DA39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8" w:hRule="atLeast"/>
                <w:jc w:val="center"/>
              </w:trPr>
              <w:tc>
                <w:tcPr>
                  <w:tcW w:w="972" w:type="dxa"/>
                  <w:vMerge w:val="continue"/>
                  <w:tcBorders>
                    <w:tl2br w:val="nil"/>
                    <w:tr2bl w:val="nil"/>
                  </w:tcBorders>
                  <w:noWrap w:val="0"/>
                  <w:vAlign w:val="top"/>
                </w:tcPr>
                <w:p w14:paraId="5A58A8C7">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744" w:type="dxa"/>
                  <w:tcBorders>
                    <w:tl2br w:val="nil"/>
                    <w:tr2bl w:val="nil"/>
                  </w:tcBorders>
                  <w:noWrap w:val="0"/>
                  <w:vAlign w:val="center"/>
                </w:tcPr>
                <w:p w14:paraId="6EB67332">
                  <w:pPr>
                    <w:keepNext w:val="0"/>
                    <w:keepLines w:val="0"/>
                    <w:pageBreakBefore w:val="0"/>
                    <w:widowControl/>
                    <w:suppressLineNumbers w:val="0"/>
                    <w:kinsoku/>
                    <w:wordWrap/>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FF0000"/>
                      <w:kern w:val="2"/>
                      <w:sz w:val="21"/>
                      <w:szCs w:val="21"/>
                      <w:lang w:val="en-US" w:eastAsia="zh-CN" w:bidi="ar-SA"/>
                    </w:rPr>
                  </w:pPr>
                  <w:r>
                    <w:rPr>
                      <w:rFonts w:hint="eastAsia" w:ascii="Times New Roman" w:hAnsi="Times New Roman" w:cs="Times New Roman"/>
                      <w:i w:val="0"/>
                      <w:iCs w:val="0"/>
                      <w:color w:val="FF0000"/>
                      <w:kern w:val="0"/>
                      <w:sz w:val="21"/>
                      <w:szCs w:val="21"/>
                      <w:u w:val="none"/>
                      <w:lang w:val="en-US" w:eastAsia="zh-CN" w:bidi="ar"/>
                    </w:rPr>
                    <w:t>TP</w:t>
                  </w:r>
                </w:p>
              </w:tc>
              <w:tc>
                <w:tcPr>
                  <w:tcW w:w="746" w:type="dxa"/>
                  <w:tcBorders>
                    <w:tl2br w:val="nil"/>
                    <w:tr2bl w:val="nil"/>
                  </w:tcBorders>
                  <w:noWrap w:val="0"/>
                  <w:vAlign w:val="center"/>
                </w:tcPr>
                <w:p w14:paraId="1096AD2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cs="Times New Roman"/>
                      <w:color w:val="FF0000"/>
                      <w:kern w:val="0"/>
                      <w:sz w:val="21"/>
                      <w:szCs w:val="20"/>
                      <w:lang w:val="en-US" w:eastAsia="zh-CN" w:bidi="ar-SA"/>
                    </w:rPr>
                  </w:pPr>
                  <w:r>
                    <w:rPr>
                      <w:rFonts w:hint="eastAsia" w:cs="Times New Roman"/>
                      <w:color w:val="FF0000"/>
                      <w:kern w:val="0"/>
                      <w:sz w:val="21"/>
                      <w:szCs w:val="20"/>
                      <w:lang w:val="en-US" w:eastAsia="zh-CN" w:bidi="ar-SA"/>
                    </w:rPr>
                    <w:t xml:space="preserve">5 </w:t>
                  </w:r>
                </w:p>
              </w:tc>
              <w:tc>
                <w:tcPr>
                  <w:tcW w:w="780" w:type="dxa"/>
                  <w:tcBorders>
                    <w:tl2br w:val="nil"/>
                    <w:tr2bl w:val="nil"/>
                  </w:tcBorders>
                  <w:noWrap w:val="0"/>
                  <w:vAlign w:val="center"/>
                </w:tcPr>
                <w:p w14:paraId="6B445C8A">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 xml:space="preserve">0.001 </w:t>
                  </w:r>
                </w:p>
              </w:tc>
              <w:tc>
                <w:tcPr>
                  <w:tcW w:w="391" w:type="dxa"/>
                  <w:vMerge w:val="continue"/>
                  <w:tcBorders>
                    <w:tl2br w:val="nil"/>
                    <w:tr2bl w:val="nil"/>
                  </w:tcBorders>
                  <w:noWrap w:val="0"/>
                  <w:vAlign w:val="center"/>
                </w:tcPr>
                <w:p w14:paraId="51B617BC">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949" w:type="dxa"/>
                  <w:vMerge w:val="continue"/>
                  <w:tcBorders>
                    <w:tl2br w:val="nil"/>
                    <w:tr2bl w:val="nil"/>
                  </w:tcBorders>
                  <w:noWrap w:val="0"/>
                  <w:vAlign w:val="center"/>
                </w:tcPr>
                <w:p w14:paraId="4833B8C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391" w:type="dxa"/>
                  <w:vMerge w:val="continue"/>
                  <w:tcBorders>
                    <w:tl2br w:val="nil"/>
                    <w:tr2bl w:val="nil"/>
                  </w:tcBorders>
                  <w:noWrap w:val="0"/>
                  <w:vAlign w:val="center"/>
                </w:tcPr>
                <w:p w14:paraId="77D54C11">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488" w:type="dxa"/>
                  <w:vMerge w:val="continue"/>
                  <w:tcBorders>
                    <w:tl2br w:val="nil"/>
                    <w:tr2bl w:val="nil"/>
                  </w:tcBorders>
                  <w:noWrap w:val="0"/>
                  <w:vAlign w:val="center"/>
                </w:tcPr>
                <w:p w14:paraId="061F95EC">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p>
              </w:tc>
              <w:tc>
                <w:tcPr>
                  <w:tcW w:w="398" w:type="dxa"/>
                  <w:vMerge w:val="continue"/>
                  <w:tcBorders>
                    <w:tl2br w:val="nil"/>
                    <w:tr2bl w:val="nil"/>
                  </w:tcBorders>
                  <w:noWrap w:val="0"/>
                  <w:vAlign w:val="center"/>
                </w:tcPr>
                <w:p w14:paraId="6BD08225">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color w:val="FF0000"/>
                      <w:kern w:val="0"/>
                      <w:sz w:val="21"/>
                      <w:szCs w:val="20"/>
                      <w:lang w:val="en-US" w:eastAsia="zh-CN" w:bidi="ar-SA"/>
                    </w:rPr>
                  </w:pPr>
                </w:p>
              </w:tc>
              <w:tc>
                <w:tcPr>
                  <w:tcW w:w="763" w:type="dxa"/>
                  <w:tcBorders>
                    <w:tl2br w:val="nil"/>
                    <w:tr2bl w:val="nil"/>
                  </w:tcBorders>
                  <w:noWrap w:val="0"/>
                  <w:vAlign w:val="center"/>
                </w:tcPr>
                <w:p w14:paraId="59E07224">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762" w:type="dxa"/>
                  <w:tcBorders>
                    <w:tl2br w:val="nil"/>
                    <w:tr2bl w:val="nil"/>
                  </w:tcBorders>
                  <w:noWrap w:val="0"/>
                  <w:vAlign w:val="center"/>
                </w:tcPr>
                <w:p w14:paraId="4A478DD2">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FF0000"/>
                      <w:kern w:val="0"/>
                      <w:sz w:val="21"/>
                      <w:szCs w:val="20"/>
                      <w:lang w:val="en-US" w:eastAsia="zh-CN" w:bidi="ar-SA"/>
                    </w:rPr>
                  </w:pPr>
                  <w:r>
                    <w:rPr>
                      <w:rFonts w:hint="eastAsia" w:ascii="Times New Roman" w:hAnsi="Times New Roman" w:eastAsia="宋体" w:cs="Times New Roman"/>
                      <w:color w:val="FF0000"/>
                      <w:kern w:val="0"/>
                      <w:sz w:val="21"/>
                      <w:szCs w:val="20"/>
                      <w:lang w:val="en-US" w:eastAsia="zh-CN" w:bidi="ar-SA"/>
                    </w:rPr>
                    <w:t>/</w:t>
                  </w:r>
                </w:p>
              </w:tc>
              <w:tc>
                <w:tcPr>
                  <w:tcW w:w="391" w:type="dxa"/>
                  <w:vMerge w:val="continue"/>
                  <w:tcBorders>
                    <w:tl2br w:val="nil"/>
                    <w:tr2bl w:val="nil"/>
                  </w:tcBorders>
                  <w:noWrap w:val="0"/>
                  <w:vAlign w:val="top"/>
                </w:tcPr>
                <w:p w14:paraId="729E8F6F">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540" w:type="dxa"/>
                  <w:vMerge w:val="continue"/>
                  <w:tcBorders>
                    <w:tl2br w:val="nil"/>
                    <w:tr2bl w:val="nil"/>
                  </w:tcBorders>
                  <w:noWrap w:val="0"/>
                  <w:vAlign w:val="top"/>
                </w:tcPr>
                <w:p w14:paraId="0222E708">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c>
                <w:tcPr>
                  <w:tcW w:w="442" w:type="dxa"/>
                  <w:vMerge w:val="continue"/>
                  <w:tcBorders>
                    <w:tl2br w:val="nil"/>
                    <w:tr2bl w:val="nil"/>
                  </w:tcBorders>
                  <w:noWrap w:val="0"/>
                  <w:vAlign w:val="top"/>
                </w:tcPr>
                <w:p w14:paraId="16EBA543">
                  <w:pPr>
                    <w:keepNext w:val="0"/>
                    <w:keepLines w:val="0"/>
                    <w:pageBreakBefore w:val="0"/>
                    <w:widowControl w:val="0"/>
                    <w:kinsoku/>
                    <w:wordWrap/>
                    <w:overflowPunct w:val="0"/>
                    <w:topLinePunct w:val="0"/>
                    <w:autoSpaceDE/>
                    <w:autoSpaceDN/>
                    <w:bidi w:val="0"/>
                    <w:adjustRightInd w:val="0"/>
                    <w:snapToGrid/>
                    <w:spacing w:line="240" w:lineRule="auto"/>
                    <w:ind w:firstLine="0" w:firstLineChars="0"/>
                    <w:jc w:val="center"/>
                    <w:textAlignment w:val="baseline"/>
                    <w:rPr>
                      <w:rFonts w:ascii="Times New Roman" w:hAnsi="Times New Roman" w:eastAsia="宋体" w:cs="Times New Roman"/>
                      <w:color w:val="FF0000"/>
                      <w:kern w:val="0"/>
                      <w:sz w:val="21"/>
                      <w:szCs w:val="20"/>
                      <w:lang w:val="en-US" w:eastAsia="zh-CN" w:bidi="ar-SA"/>
                    </w:rPr>
                  </w:pPr>
                </w:p>
              </w:tc>
            </w:tr>
          </w:tbl>
          <w:p w14:paraId="42F0E2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eastAsia="宋体"/>
                <w:color w:val="FF0000"/>
                <w:sz w:val="24"/>
                <w:lang w:eastAsia="zh-CN"/>
              </w:rPr>
            </w:pPr>
            <w:r>
              <w:rPr>
                <w:rFonts w:hint="eastAsia"/>
                <w:color w:val="FF0000"/>
                <w:sz w:val="24"/>
                <w:lang w:eastAsia="zh-CN"/>
              </w:rPr>
              <w:t>由上表可知，本项目</w:t>
            </w:r>
            <w:r>
              <w:rPr>
                <w:rFonts w:hint="eastAsia"/>
                <w:color w:val="FF0000"/>
                <w:sz w:val="24"/>
                <w:highlight w:val="none"/>
                <w:lang w:val="en-US" w:eastAsia="zh-CN"/>
              </w:rPr>
              <w:t>设备清洗废水、试验仪器清洗废水、空瓶清洗废水和纯水制备浓水排放总量为200.96</w:t>
            </w:r>
            <w:r>
              <w:rPr>
                <w:rFonts w:hint="eastAsia" w:cs="Times New Roman"/>
                <w:color w:val="FF0000"/>
                <w:sz w:val="24"/>
                <w:szCs w:val="24"/>
                <w:lang w:val="en-US" w:eastAsia="zh-CN"/>
              </w:rPr>
              <w:t>m</w:t>
            </w:r>
            <w:r>
              <w:rPr>
                <w:rFonts w:hint="eastAsia" w:cs="Times New Roman"/>
                <w:color w:val="FF0000"/>
                <w:sz w:val="24"/>
                <w:szCs w:val="24"/>
                <w:vertAlign w:val="superscript"/>
                <w:lang w:val="en-US" w:eastAsia="zh-CN"/>
              </w:rPr>
              <w:t>3</w:t>
            </w:r>
            <w:r>
              <w:rPr>
                <w:rFonts w:hint="eastAsia" w:cs="Times New Roman"/>
                <w:color w:val="FF0000"/>
                <w:sz w:val="24"/>
                <w:szCs w:val="24"/>
                <w:lang w:val="en-US" w:eastAsia="zh-CN"/>
              </w:rPr>
              <w:t>/a</w:t>
            </w:r>
            <w:r>
              <w:rPr>
                <w:rFonts w:hint="eastAsia"/>
                <w:color w:val="FF0000"/>
                <w:sz w:val="24"/>
                <w:szCs w:val="24"/>
                <w:lang w:eastAsia="zh-CN"/>
              </w:rPr>
              <w:t>，企业生产废水排放量小，不具备自建污水处理站的条件，因此建设单位</w:t>
            </w:r>
            <w:r>
              <w:rPr>
                <w:rFonts w:hint="eastAsia"/>
                <w:color w:val="FF0000"/>
                <w:sz w:val="24"/>
                <w:highlight w:val="none"/>
                <w:lang w:val="en-US" w:eastAsia="zh-CN"/>
              </w:rPr>
              <w:t>通过在发酵罐等罐体下端排放口、纯水制备浓水收集口等位置将废水采集至废水收集桶，材质为HDPE高密度聚乙烯，收集桶容积为10m</w:t>
            </w:r>
            <w:r>
              <w:rPr>
                <w:rFonts w:hint="eastAsia"/>
                <w:color w:val="FF0000"/>
                <w:sz w:val="24"/>
                <w:highlight w:val="none"/>
                <w:vertAlign w:val="superscript"/>
                <w:lang w:val="en-US" w:eastAsia="zh-CN"/>
              </w:rPr>
              <w:t>3</w:t>
            </w:r>
            <w:r>
              <w:rPr>
                <w:rFonts w:hint="eastAsia"/>
                <w:color w:val="FF0000"/>
                <w:sz w:val="24"/>
                <w:highlight w:val="none"/>
                <w:lang w:val="en-US" w:eastAsia="zh-CN"/>
              </w:rPr>
              <w:t>，</w:t>
            </w:r>
            <w:r>
              <w:rPr>
                <w:rFonts w:hint="eastAsia"/>
                <w:color w:val="FF0000"/>
                <w:sz w:val="24"/>
                <w:lang w:eastAsia="zh-CN"/>
              </w:rPr>
              <w:t>厂内设置</w:t>
            </w:r>
            <w:r>
              <w:rPr>
                <w:rFonts w:hint="eastAsia"/>
                <w:color w:val="FF0000"/>
                <w:sz w:val="24"/>
                <w:lang w:val="en-US" w:eastAsia="zh-CN"/>
              </w:rPr>
              <w:t>6个废水收集桶，</w:t>
            </w:r>
            <w:r>
              <w:rPr>
                <w:rFonts w:hint="eastAsia"/>
                <w:color w:val="FF0000"/>
                <w:szCs w:val="21"/>
                <w:highlight w:val="none"/>
                <w:lang w:eastAsia="zh-CN"/>
              </w:rPr>
              <w:t>每次</w:t>
            </w:r>
            <w:r>
              <w:rPr>
                <w:rFonts w:hint="eastAsia"/>
                <w:color w:val="FF0000"/>
                <w:szCs w:val="21"/>
                <w:highlight w:val="none"/>
              </w:rPr>
              <w:t>生产周期后</w:t>
            </w:r>
            <w:r>
              <w:rPr>
                <w:rFonts w:hint="eastAsia"/>
                <w:color w:val="FF0000"/>
                <w:sz w:val="24"/>
                <w:lang w:eastAsia="zh-CN"/>
              </w:rPr>
              <w:t>委托检测单位检测合格，满足</w:t>
            </w:r>
            <w:r>
              <w:rPr>
                <w:rFonts w:hint="eastAsia"/>
                <w:color w:val="FF0000"/>
                <w:sz w:val="24"/>
                <w:highlight w:val="none"/>
                <w:lang w:val="en-US" w:eastAsia="zh-CN"/>
              </w:rPr>
              <w:t>佛坪县污水处理厂进水水质要求（COD≤400mg/L；悬浮物≤240mg/L；总氮≤35mg/L；总磷≤5mg/L；PH≤6.5~8.5；BOD</w:t>
            </w:r>
            <w:r>
              <w:rPr>
                <w:rFonts w:hint="eastAsia"/>
                <w:color w:val="FF0000"/>
                <w:sz w:val="24"/>
                <w:highlight w:val="none"/>
                <w:vertAlign w:val="subscript"/>
                <w:lang w:val="en-US" w:eastAsia="zh-CN"/>
              </w:rPr>
              <w:t>5</w:t>
            </w:r>
            <w:r>
              <w:rPr>
                <w:rFonts w:hint="eastAsia"/>
                <w:color w:val="FF0000"/>
                <w:sz w:val="24"/>
                <w:highlight w:val="none"/>
                <w:lang w:val="en-US" w:eastAsia="zh-CN"/>
              </w:rPr>
              <w:t>≤190mg/L）后，及时通过罐车拉运至佛坪县污水处理厂处理；剩余少量纯水制备浓水经废水收集桶收集后用于冲厕。</w:t>
            </w:r>
          </w:p>
          <w:p w14:paraId="540AB4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auto"/>
                <w:sz w:val="24"/>
              </w:rPr>
            </w:pPr>
            <w:r>
              <w:rPr>
                <w:rFonts w:hint="eastAsia"/>
                <w:color w:val="auto"/>
                <w:sz w:val="24"/>
              </w:rPr>
              <w:t>生活污水产生量为</w:t>
            </w:r>
            <w:r>
              <w:rPr>
                <w:rFonts w:hint="eastAsia"/>
                <w:color w:val="auto"/>
                <w:sz w:val="24"/>
                <w:lang w:val="en-US" w:eastAsia="zh-CN"/>
              </w:rPr>
              <w:t>216</w:t>
            </w:r>
            <w:r>
              <w:rPr>
                <w:rFonts w:hint="eastAsia" w:cs="Times New Roman"/>
                <w:color w:val="auto"/>
                <w:sz w:val="24"/>
                <w:szCs w:val="24"/>
                <w:lang w:val="en-US" w:eastAsia="zh-CN"/>
              </w:rPr>
              <w:t>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/a</w:t>
            </w:r>
            <w:r>
              <w:rPr>
                <w:rFonts w:hint="eastAsia"/>
                <w:color w:val="auto"/>
                <w:sz w:val="24"/>
                <w:szCs w:val="24"/>
                <w:lang w:eastAsia="zh-CN"/>
              </w:rPr>
              <w:t>，</w:t>
            </w:r>
            <w:r>
              <w:rPr>
                <w:rFonts w:hint="eastAsia" w:ascii="Times New Roman" w:hAnsi="Times New Roman" w:eastAsia="宋体"/>
                <w:color w:val="auto"/>
                <w:sz w:val="24"/>
                <w:szCs w:val="24"/>
                <w:highlight w:val="none"/>
                <w:lang w:val="en-US" w:eastAsia="zh-CN"/>
              </w:rPr>
              <w:t>参考《给排水设计手册》（第五册）</w:t>
            </w:r>
            <w:r>
              <w:rPr>
                <w:rFonts w:hint="eastAsia"/>
                <w:color w:val="auto"/>
                <w:sz w:val="24"/>
                <w:szCs w:val="24"/>
                <w:highlight w:val="none"/>
                <w:lang w:val="en-US" w:eastAsia="zh-CN"/>
              </w:rPr>
              <w:t>中城镇污水</w:t>
            </w:r>
            <w:r>
              <w:rPr>
                <w:rFonts w:hint="eastAsia" w:ascii="Times New Roman" w:hAnsi="Times New Roman" w:eastAsia="宋体"/>
                <w:color w:val="auto"/>
                <w:sz w:val="24"/>
                <w:szCs w:val="24"/>
                <w:highlight w:val="none"/>
                <w:lang w:val="en-US" w:eastAsia="zh-CN"/>
              </w:rPr>
              <w:t>水质，本项目生活污水中主要污染指标浓度选取为</w:t>
            </w:r>
            <w:r>
              <w:rPr>
                <w:rFonts w:hint="default" w:ascii="Times New Roman" w:hAnsi="Times New Roman" w:eastAsia="宋体"/>
                <w:color w:val="auto"/>
                <w:sz w:val="24"/>
                <w:szCs w:val="24"/>
                <w:highlight w:val="none"/>
                <w:lang w:val="en-US" w:eastAsia="zh-CN"/>
              </w:rPr>
              <w:t>SS</w:t>
            </w:r>
            <w:r>
              <w:rPr>
                <w:rFonts w:hint="eastAsia" w:ascii="Times New Roman" w:hAnsi="Times New Roman" w:eastAsia="宋体"/>
                <w:color w:val="auto"/>
                <w:sz w:val="24"/>
                <w:szCs w:val="24"/>
                <w:highlight w:val="none"/>
                <w:lang w:val="en-US" w:eastAsia="zh-CN"/>
              </w:rPr>
              <w:t>：</w:t>
            </w:r>
            <w:r>
              <w:rPr>
                <w:rFonts w:hint="default" w:ascii="Times New Roman" w:hAnsi="Times New Roman" w:eastAsia="宋体"/>
                <w:color w:val="auto"/>
                <w:sz w:val="24"/>
                <w:szCs w:val="24"/>
                <w:highlight w:val="none"/>
                <w:lang w:val="en-US" w:eastAsia="zh-CN"/>
              </w:rPr>
              <w:t>200mg/L</w:t>
            </w:r>
            <w:r>
              <w:rPr>
                <w:rFonts w:hint="eastAsia" w:ascii="Times New Roman" w:hAnsi="Times New Roman" w:eastAsia="宋体"/>
                <w:color w:val="auto"/>
                <w:sz w:val="24"/>
                <w:szCs w:val="24"/>
                <w:highlight w:val="none"/>
                <w:lang w:val="en-US" w:eastAsia="zh-CN"/>
              </w:rPr>
              <w:t>，</w:t>
            </w:r>
            <w:r>
              <w:rPr>
                <w:rFonts w:hint="default" w:ascii="Times New Roman" w:hAnsi="Times New Roman" w:eastAsia="宋体"/>
                <w:color w:val="auto"/>
                <w:sz w:val="24"/>
                <w:szCs w:val="24"/>
                <w:highlight w:val="none"/>
                <w:lang w:val="en-US" w:eastAsia="zh-CN"/>
              </w:rPr>
              <w:t>COD</w:t>
            </w:r>
            <w:r>
              <w:rPr>
                <w:rFonts w:hint="eastAsia" w:ascii="Times New Roman" w:hAnsi="Times New Roman" w:eastAsia="宋体"/>
                <w:color w:val="auto"/>
                <w:sz w:val="24"/>
                <w:szCs w:val="24"/>
                <w:highlight w:val="none"/>
                <w:lang w:val="en-US" w:eastAsia="zh-CN"/>
              </w:rPr>
              <w:t>：</w:t>
            </w:r>
            <w:r>
              <w:rPr>
                <w:rFonts w:hint="default" w:ascii="Times New Roman" w:hAnsi="Times New Roman" w:eastAsia="宋体"/>
                <w:color w:val="auto"/>
                <w:sz w:val="24"/>
                <w:szCs w:val="24"/>
                <w:highlight w:val="none"/>
                <w:lang w:val="en-US" w:eastAsia="zh-CN"/>
              </w:rPr>
              <w:t>4</w:t>
            </w:r>
            <w:r>
              <w:rPr>
                <w:rFonts w:hint="eastAsia" w:ascii="Times New Roman" w:hAnsi="Times New Roman" w:eastAsia="宋体"/>
                <w:color w:val="auto"/>
                <w:sz w:val="24"/>
                <w:szCs w:val="24"/>
                <w:highlight w:val="none"/>
                <w:lang w:val="en-US" w:eastAsia="zh-CN"/>
              </w:rPr>
              <w:t>0</w:t>
            </w:r>
            <w:r>
              <w:rPr>
                <w:rFonts w:hint="default" w:ascii="Times New Roman" w:hAnsi="Times New Roman" w:eastAsia="宋体"/>
                <w:color w:val="auto"/>
                <w:sz w:val="24"/>
                <w:szCs w:val="24"/>
                <w:highlight w:val="none"/>
                <w:lang w:val="en-US" w:eastAsia="zh-CN"/>
              </w:rPr>
              <w:t>0mg/L</w:t>
            </w:r>
            <w:r>
              <w:rPr>
                <w:rFonts w:hint="eastAsia" w:ascii="Times New Roman" w:hAnsi="Times New Roman" w:eastAsia="宋体"/>
                <w:color w:val="auto"/>
                <w:sz w:val="24"/>
                <w:szCs w:val="24"/>
                <w:highlight w:val="none"/>
                <w:lang w:val="en-US" w:eastAsia="zh-CN"/>
              </w:rPr>
              <w:t>，</w:t>
            </w:r>
            <w:r>
              <w:rPr>
                <w:rFonts w:hint="default" w:ascii="Times New Roman" w:hAnsi="Times New Roman" w:eastAsia="宋体"/>
                <w:color w:val="auto"/>
                <w:sz w:val="24"/>
                <w:szCs w:val="24"/>
                <w:highlight w:val="none"/>
                <w:lang w:val="en-US" w:eastAsia="zh-CN"/>
              </w:rPr>
              <w:t>BOD</w:t>
            </w:r>
            <w:r>
              <w:rPr>
                <w:rFonts w:hint="default" w:ascii="Times New Roman" w:hAnsi="Times New Roman" w:eastAsia="宋体"/>
                <w:color w:val="auto"/>
                <w:sz w:val="24"/>
                <w:szCs w:val="24"/>
                <w:highlight w:val="none"/>
                <w:vertAlign w:val="subscript"/>
                <w:lang w:val="en-US" w:eastAsia="zh-CN"/>
              </w:rPr>
              <w:t>5</w:t>
            </w:r>
            <w:r>
              <w:rPr>
                <w:rFonts w:hint="eastAsia" w:ascii="Times New Roman" w:hAnsi="Times New Roman" w:eastAsia="宋体"/>
                <w:color w:val="auto"/>
                <w:sz w:val="24"/>
                <w:szCs w:val="24"/>
                <w:highlight w:val="none"/>
                <w:lang w:val="en-US" w:eastAsia="zh-CN"/>
              </w:rPr>
              <w:t>：</w:t>
            </w:r>
            <w:r>
              <w:rPr>
                <w:rFonts w:hint="default" w:ascii="Times New Roman" w:hAnsi="Times New Roman" w:eastAsia="宋体"/>
                <w:color w:val="auto"/>
                <w:sz w:val="24"/>
                <w:szCs w:val="24"/>
                <w:highlight w:val="none"/>
                <w:lang w:val="en-US" w:eastAsia="zh-CN"/>
              </w:rPr>
              <w:t>220mg/L</w:t>
            </w:r>
            <w:r>
              <w:rPr>
                <w:rFonts w:hint="eastAsia" w:ascii="Times New Roman" w:hAnsi="Times New Roman" w:eastAsia="宋体"/>
                <w:color w:val="auto"/>
                <w:sz w:val="24"/>
                <w:szCs w:val="24"/>
                <w:highlight w:val="none"/>
                <w:lang w:val="en-US" w:eastAsia="zh-CN"/>
              </w:rPr>
              <w:t>，氨氮：25</w:t>
            </w:r>
            <w:r>
              <w:rPr>
                <w:rFonts w:hint="default" w:ascii="Times New Roman" w:hAnsi="Times New Roman" w:eastAsia="宋体"/>
                <w:color w:val="auto"/>
                <w:sz w:val="24"/>
                <w:szCs w:val="24"/>
                <w:highlight w:val="none"/>
                <w:lang w:val="en-US" w:eastAsia="zh-CN"/>
              </w:rPr>
              <w:t>mg/L</w:t>
            </w:r>
            <w:r>
              <w:rPr>
                <w:rFonts w:hint="eastAsia" w:ascii="Times New Roman" w:hAnsi="Times New Roman" w:eastAsia="宋体"/>
                <w:color w:val="auto"/>
                <w:sz w:val="24"/>
                <w:szCs w:val="24"/>
                <w:highlight w:val="none"/>
                <w:lang w:val="en-US" w:eastAsia="zh-CN"/>
              </w:rPr>
              <w:t>，</w:t>
            </w:r>
            <w:r>
              <w:rPr>
                <w:rFonts w:hint="eastAsia"/>
                <w:color w:val="auto"/>
                <w:sz w:val="24"/>
                <w:szCs w:val="24"/>
                <w:highlight w:val="none"/>
                <w:lang w:val="en-US" w:eastAsia="zh-CN"/>
              </w:rPr>
              <w:t>总氮：40</w:t>
            </w:r>
            <w:r>
              <w:rPr>
                <w:rFonts w:hint="default" w:ascii="Times New Roman" w:hAnsi="Times New Roman" w:eastAsia="宋体"/>
                <w:color w:val="auto"/>
                <w:sz w:val="24"/>
                <w:szCs w:val="24"/>
                <w:highlight w:val="none"/>
                <w:lang w:val="en-US" w:eastAsia="zh-CN"/>
              </w:rPr>
              <w:t>mg/L</w:t>
            </w:r>
            <w:r>
              <w:rPr>
                <w:rFonts w:hint="eastAsia" w:ascii="Times New Roman" w:hAnsi="Times New Roman" w:eastAsia="宋体"/>
                <w:color w:val="auto"/>
                <w:sz w:val="24"/>
                <w:szCs w:val="24"/>
                <w:highlight w:val="none"/>
                <w:lang w:val="en-US" w:eastAsia="zh-CN"/>
              </w:rPr>
              <w:t>，总磷：</w:t>
            </w:r>
            <w:r>
              <w:rPr>
                <w:rFonts w:hint="eastAsia"/>
                <w:color w:val="auto"/>
                <w:sz w:val="24"/>
                <w:szCs w:val="24"/>
                <w:highlight w:val="none"/>
                <w:lang w:val="en-US" w:eastAsia="zh-CN"/>
              </w:rPr>
              <w:t>5</w:t>
            </w:r>
            <w:r>
              <w:rPr>
                <w:rFonts w:hint="default" w:ascii="Times New Roman" w:hAnsi="Times New Roman" w:eastAsia="宋体"/>
                <w:color w:val="auto"/>
                <w:sz w:val="24"/>
                <w:szCs w:val="24"/>
                <w:highlight w:val="none"/>
                <w:lang w:val="en-US" w:eastAsia="zh-CN"/>
              </w:rPr>
              <w:t>mg/L</w:t>
            </w:r>
            <w:r>
              <w:rPr>
                <w:rFonts w:hint="eastAsia"/>
                <w:color w:val="auto"/>
                <w:sz w:val="24"/>
              </w:rPr>
              <w:t>。</w:t>
            </w:r>
          </w:p>
          <w:p w14:paraId="1046A655">
            <w:pPr>
              <w:spacing w:line="360" w:lineRule="auto"/>
              <w:ind w:firstLine="480" w:firstLineChars="200"/>
              <w:rPr>
                <w:rFonts w:hint="eastAsia"/>
                <w:color w:val="auto"/>
                <w:sz w:val="24"/>
                <w:lang w:val="en-US" w:eastAsia="zh-CN"/>
              </w:rPr>
            </w:pPr>
            <w:r>
              <w:rPr>
                <w:rFonts w:hint="eastAsia"/>
                <w:color w:val="auto"/>
                <w:sz w:val="24"/>
                <w:lang w:val="en-US" w:eastAsia="zh-CN"/>
              </w:rPr>
              <w:t>本项目生活污水产生及排放情况见下表：</w:t>
            </w:r>
          </w:p>
          <w:p w14:paraId="1F4C42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表4</w:t>
            </w:r>
            <w:r>
              <w:rPr>
                <w:rFonts w:hint="eastAsia"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lang w:val="en-US" w:eastAsia="zh-CN"/>
              </w:rPr>
              <w:t xml:space="preserve"> </w:t>
            </w:r>
            <w:r>
              <w:rPr>
                <w:rFonts w:hint="eastAsia" w:ascii="Times New Roman" w:hAnsi="Times New Roman" w:eastAsia="宋体" w:cs="Times New Roman"/>
                <w:b/>
                <w:bCs/>
                <w:color w:val="auto"/>
                <w:sz w:val="21"/>
                <w:szCs w:val="21"/>
                <w:highlight w:val="none"/>
                <w:lang w:val="en-US" w:eastAsia="zh-CN"/>
              </w:rPr>
              <w:t>本</w:t>
            </w:r>
            <w:r>
              <w:rPr>
                <w:rFonts w:hint="default" w:ascii="Times New Roman" w:hAnsi="Times New Roman" w:eastAsia="宋体" w:cs="Times New Roman"/>
                <w:b/>
                <w:bCs/>
                <w:color w:val="auto"/>
                <w:sz w:val="21"/>
                <w:szCs w:val="21"/>
                <w:highlight w:val="none"/>
                <w:lang w:val="en-US" w:eastAsia="zh-CN"/>
              </w:rPr>
              <w:t>项目</w:t>
            </w:r>
            <w:r>
              <w:rPr>
                <w:rFonts w:hint="eastAsia" w:ascii="Times New Roman" w:hAnsi="Times New Roman" w:eastAsia="宋体" w:cs="Times New Roman"/>
                <w:b/>
                <w:bCs/>
                <w:color w:val="auto"/>
                <w:sz w:val="21"/>
                <w:szCs w:val="21"/>
                <w:highlight w:val="none"/>
                <w:lang w:val="en-US" w:eastAsia="zh-CN"/>
              </w:rPr>
              <w:t>生活污水</w:t>
            </w:r>
            <w:r>
              <w:rPr>
                <w:rFonts w:hint="default" w:ascii="Times New Roman" w:hAnsi="Times New Roman" w:eastAsia="宋体" w:cs="Times New Roman"/>
                <w:b/>
                <w:bCs/>
                <w:color w:val="auto"/>
                <w:sz w:val="21"/>
                <w:szCs w:val="21"/>
                <w:highlight w:val="none"/>
                <w:lang w:val="en-US" w:eastAsia="zh-CN"/>
              </w:rPr>
              <w:t>污染物产</w:t>
            </w:r>
            <w:r>
              <w:rPr>
                <w:rFonts w:hint="eastAsia" w:ascii="Times New Roman" w:hAnsi="Times New Roman" w:eastAsia="宋体" w:cs="Times New Roman"/>
                <w:b/>
                <w:bCs/>
                <w:color w:val="auto"/>
                <w:sz w:val="21"/>
                <w:szCs w:val="21"/>
                <w:highlight w:val="none"/>
                <w:lang w:val="en-US" w:eastAsia="zh-CN"/>
              </w:rPr>
              <w:t>生</w:t>
            </w:r>
            <w:r>
              <w:rPr>
                <w:rFonts w:hint="eastAsia" w:cs="Times New Roman"/>
                <w:b/>
                <w:bCs/>
                <w:color w:val="auto"/>
                <w:sz w:val="21"/>
                <w:szCs w:val="21"/>
                <w:highlight w:val="none"/>
                <w:lang w:val="en-US" w:eastAsia="zh-CN"/>
              </w:rPr>
              <w:t>排放</w:t>
            </w:r>
            <w:r>
              <w:rPr>
                <w:rFonts w:hint="default" w:ascii="Times New Roman" w:hAnsi="Times New Roman" w:eastAsia="宋体" w:cs="Times New Roman"/>
                <w:b/>
                <w:bCs/>
                <w:color w:val="auto"/>
                <w:sz w:val="21"/>
                <w:szCs w:val="21"/>
                <w:highlight w:val="none"/>
                <w:lang w:val="en-US" w:eastAsia="zh-CN"/>
              </w:rPr>
              <w:t>情况一览表</w:t>
            </w:r>
          </w:p>
          <w:tbl>
            <w:tblPr>
              <w:tblStyle w:val="26"/>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14"/>
              <w:gridCol w:w="981"/>
              <w:gridCol w:w="1063"/>
              <w:gridCol w:w="1193"/>
              <w:gridCol w:w="1091"/>
              <w:gridCol w:w="825"/>
              <w:gridCol w:w="1098"/>
              <w:gridCol w:w="1065"/>
              <w:gridCol w:w="1206"/>
            </w:tblGrid>
            <w:tr w14:paraId="1ED08D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 w:hRule="atLeast"/>
              </w:trPr>
              <w:tc>
                <w:tcPr>
                  <w:tcW w:w="284" w:type="pct"/>
                  <w:vMerge w:val="restart"/>
                  <w:tcBorders>
                    <w:tl2br w:val="nil"/>
                    <w:tr2bl w:val="nil"/>
                  </w:tcBorders>
                  <w:noWrap w:val="0"/>
                  <w:vAlign w:val="center"/>
                </w:tcPr>
                <w:p w14:paraId="6F4976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项目</w:t>
                  </w:r>
                </w:p>
              </w:tc>
              <w:tc>
                <w:tcPr>
                  <w:tcW w:w="543" w:type="pct"/>
                  <w:vMerge w:val="restart"/>
                  <w:tcBorders>
                    <w:tl2br w:val="nil"/>
                    <w:tr2bl w:val="nil"/>
                  </w:tcBorders>
                  <w:noWrap w:val="0"/>
                  <w:vAlign w:val="center"/>
                </w:tcPr>
                <w:p w14:paraId="6E320FB0">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b/>
                      <w:bCs/>
                      <w:color w:val="auto"/>
                      <w:sz w:val="21"/>
                      <w:szCs w:val="21"/>
                      <w:lang w:eastAsia="zh-CN"/>
                    </w:rPr>
                    <w:t>排放量</w:t>
                  </w:r>
                  <w:r>
                    <w:rPr>
                      <w:rFonts w:hint="eastAsia"/>
                      <w:b/>
                      <w:bCs/>
                      <w:color w:val="auto"/>
                      <w:sz w:val="21"/>
                      <w:szCs w:val="21"/>
                      <w:lang w:val="en-US" w:eastAsia="zh-CN"/>
                    </w:rPr>
                    <w:t>(</w:t>
                  </w:r>
                  <w:r>
                    <w:rPr>
                      <w:b/>
                      <w:bCs/>
                      <w:color w:val="auto"/>
                      <w:sz w:val="21"/>
                      <w:szCs w:val="21"/>
                    </w:rPr>
                    <w:t>m</w:t>
                  </w:r>
                  <w:r>
                    <w:rPr>
                      <w:b/>
                      <w:bCs/>
                      <w:color w:val="auto"/>
                      <w:sz w:val="21"/>
                      <w:szCs w:val="21"/>
                      <w:vertAlign w:val="superscript"/>
                    </w:rPr>
                    <w:t>3</w:t>
                  </w:r>
                  <w:r>
                    <w:rPr>
                      <w:b/>
                      <w:bCs/>
                      <w:color w:val="auto"/>
                      <w:sz w:val="21"/>
                      <w:szCs w:val="21"/>
                    </w:rPr>
                    <w:t>/</w:t>
                  </w:r>
                  <w:r>
                    <w:rPr>
                      <w:rFonts w:hint="eastAsia"/>
                      <w:b/>
                      <w:bCs/>
                      <w:color w:val="auto"/>
                      <w:sz w:val="21"/>
                      <w:szCs w:val="21"/>
                      <w:lang w:val="en-US" w:eastAsia="zh-CN"/>
                    </w:rPr>
                    <w:t>a)</w:t>
                  </w:r>
                </w:p>
              </w:tc>
              <w:tc>
                <w:tcPr>
                  <w:tcW w:w="588" w:type="pct"/>
                  <w:vMerge w:val="restart"/>
                  <w:tcBorders>
                    <w:tl2br w:val="nil"/>
                    <w:tr2bl w:val="nil"/>
                  </w:tcBorders>
                  <w:noWrap w:val="0"/>
                  <w:vAlign w:val="center"/>
                </w:tcPr>
                <w:p w14:paraId="752F5350">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
                      <w:bCs/>
                      <w:color w:val="auto"/>
                      <w:sz w:val="21"/>
                      <w:szCs w:val="21"/>
                      <w:highlight w:val="none"/>
                      <w:vertAlign w:val="baseline"/>
                      <w:lang w:val="en-US" w:eastAsia="zh-CN"/>
                    </w:rPr>
                  </w:pPr>
                  <w:r>
                    <w:rPr>
                      <w:b/>
                      <w:bCs/>
                      <w:color w:val="auto"/>
                      <w:sz w:val="21"/>
                      <w:szCs w:val="21"/>
                    </w:rPr>
                    <w:t>主要污染物</w:t>
                  </w:r>
                </w:p>
              </w:tc>
              <w:tc>
                <w:tcPr>
                  <w:tcW w:w="1263" w:type="pct"/>
                  <w:gridSpan w:val="2"/>
                  <w:tcBorders>
                    <w:tl2br w:val="nil"/>
                    <w:tr2bl w:val="nil"/>
                  </w:tcBorders>
                  <w:noWrap w:val="0"/>
                  <w:vAlign w:val="center"/>
                </w:tcPr>
                <w:p w14:paraId="544DF6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产生情况</w:t>
                  </w:r>
                </w:p>
              </w:tc>
              <w:tc>
                <w:tcPr>
                  <w:tcW w:w="456" w:type="pct"/>
                  <w:vMerge w:val="restart"/>
                  <w:tcBorders>
                    <w:tl2br w:val="nil"/>
                    <w:tr2bl w:val="nil"/>
                  </w:tcBorders>
                  <w:noWrap w:val="0"/>
                  <w:vAlign w:val="center"/>
                </w:tcPr>
                <w:p w14:paraId="16528A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处理效率（%）</w:t>
                  </w:r>
                </w:p>
              </w:tc>
              <w:tc>
                <w:tcPr>
                  <w:tcW w:w="1196" w:type="pct"/>
                  <w:gridSpan w:val="2"/>
                  <w:tcBorders>
                    <w:tl2br w:val="nil"/>
                    <w:tr2bl w:val="nil"/>
                  </w:tcBorders>
                  <w:noWrap w:val="0"/>
                  <w:vAlign w:val="center"/>
                </w:tcPr>
                <w:p w14:paraId="2C902C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排放情况</w:t>
                  </w:r>
                </w:p>
              </w:tc>
              <w:tc>
                <w:tcPr>
                  <w:tcW w:w="667" w:type="pct"/>
                  <w:vMerge w:val="restart"/>
                  <w:tcBorders>
                    <w:tl2br w:val="nil"/>
                    <w:tr2bl w:val="nil"/>
                  </w:tcBorders>
                  <w:noWrap w:val="0"/>
                  <w:vAlign w:val="center"/>
                </w:tcPr>
                <w:p w14:paraId="43CDCE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本项目执行标准限值</w:t>
                  </w:r>
                  <w:r>
                    <w:rPr>
                      <w:rFonts w:hint="eastAsia"/>
                      <w:b/>
                      <w:bCs/>
                      <w:color w:val="auto"/>
                      <w:sz w:val="21"/>
                      <w:szCs w:val="21"/>
                      <w:lang w:val="en-US" w:eastAsia="zh-CN"/>
                    </w:rPr>
                    <w:t>(</w:t>
                  </w:r>
                  <w:r>
                    <w:rPr>
                      <w:b/>
                      <w:bCs/>
                      <w:color w:val="auto"/>
                      <w:sz w:val="21"/>
                      <w:szCs w:val="21"/>
                    </w:rPr>
                    <w:t>mg/L</w:t>
                  </w:r>
                  <w:r>
                    <w:rPr>
                      <w:rFonts w:hint="eastAsia"/>
                      <w:b/>
                      <w:bCs/>
                      <w:color w:val="auto"/>
                      <w:sz w:val="21"/>
                      <w:szCs w:val="21"/>
                      <w:lang w:val="en-US" w:eastAsia="zh-CN"/>
                    </w:rPr>
                    <w:t>)</w:t>
                  </w:r>
                </w:p>
              </w:tc>
            </w:tr>
            <w:tr w14:paraId="7FAF9B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4" w:type="pct"/>
                  <w:vMerge w:val="continue"/>
                  <w:tcBorders>
                    <w:tl2br w:val="nil"/>
                    <w:tr2bl w:val="nil"/>
                  </w:tcBorders>
                  <w:noWrap w:val="0"/>
                  <w:vAlign w:val="center"/>
                </w:tcPr>
                <w:p w14:paraId="7660DD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543" w:type="pct"/>
                  <w:vMerge w:val="continue"/>
                  <w:tcBorders>
                    <w:tl2br w:val="nil"/>
                    <w:tr2bl w:val="nil"/>
                  </w:tcBorders>
                  <w:noWrap w:val="0"/>
                  <w:vAlign w:val="center"/>
                </w:tcPr>
                <w:p w14:paraId="5DA35F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588" w:type="pct"/>
                  <w:vMerge w:val="continue"/>
                  <w:tcBorders>
                    <w:tl2br w:val="nil"/>
                    <w:tr2bl w:val="nil"/>
                  </w:tcBorders>
                  <w:noWrap w:val="0"/>
                  <w:vAlign w:val="center"/>
                </w:tcPr>
                <w:p w14:paraId="2FA143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60" w:type="pct"/>
                  <w:tcBorders>
                    <w:tl2br w:val="nil"/>
                    <w:tr2bl w:val="nil"/>
                  </w:tcBorders>
                  <w:noWrap w:val="0"/>
                  <w:vAlign w:val="center"/>
                </w:tcPr>
                <w:p w14:paraId="3D9D76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eastAsia="zh-CN"/>
                    </w:rPr>
                    <w:t>产生浓度（</w:t>
                  </w:r>
                  <w:r>
                    <w:rPr>
                      <w:rFonts w:hint="default" w:ascii="Times New Roman" w:hAnsi="Times New Roman" w:eastAsia="宋体" w:cs="Times New Roman"/>
                      <w:b/>
                      <w:bCs/>
                      <w:color w:val="auto"/>
                      <w:sz w:val="21"/>
                      <w:szCs w:val="21"/>
                      <w:highlight w:val="none"/>
                      <w:lang w:val="en-US" w:eastAsia="zh-CN"/>
                    </w:rPr>
                    <w:t>mg/L）</w:t>
                  </w:r>
                </w:p>
              </w:tc>
              <w:tc>
                <w:tcPr>
                  <w:tcW w:w="603" w:type="pct"/>
                  <w:tcBorders>
                    <w:tl2br w:val="nil"/>
                    <w:tr2bl w:val="nil"/>
                  </w:tcBorders>
                  <w:noWrap w:val="0"/>
                  <w:vAlign w:val="center"/>
                </w:tcPr>
                <w:p w14:paraId="04A69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产生量（</w:t>
                  </w:r>
                  <w:r>
                    <w:rPr>
                      <w:rFonts w:hint="default" w:ascii="Times New Roman" w:hAnsi="Times New Roman" w:eastAsia="宋体" w:cs="Times New Roman"/>
                      <w:b/>
                      <w:bCs/>
                      <w:color w:val="auto"/>
                      <w:sz w:val="21"/>
                      <w:szCs w:val="21"/>
                      <w:highlight w:val="none"/>
                      <w:lang w:val="en-US" w:eastAsia="zh-CN"/>
                    </w:rPr>
                    <w:t>t/a）</w:t>
                  </w:r>
                </w:p>
              </w:tc>
              <w:tc>
                <w:tcPr>
                  <w:tcW w:w="456" w:type="pct"/>
                  <w:vMerge w:val="continue"/>
                  <w:tcBorders>
                    <w:tl2br w:val="nil"/>
                    <w:tr2bl w:val="nil"/>
                  </w:tcBorders>
                  <w:noWrap w:val="0"/>
                  <w:vAlign w:val="center"/>
                </w:tcPr>
                <w:p w14:paraId="2F8EFD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eastAsia="zh-CN"/>
                    </w:rPr>
                  </w:pPr>
                </w:p>
              </w:tc>
              <w:tc>
                <w:tcPr>
                  <w:tcW w:w="607" w:type="pct"/>
                  <w:tcBorders>
                    <w:tl2br w:val="nil"/>
                    <w:tr2bl w:val="nil"/>
                  </w:tcBorders>
                  <w:noWrap w:val="0"/>
                  <w:vAlign w:val="center"/>
                </w:tcPr>
                <w:p w14:paraId="43EFBB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lang w:eastAsia="zh-CN"/>
                    </w:rPr>
                    <w:t>排放浓度（</w:t>
                  </w:r>
                  <w:r>
                    <w:rPr>
                      <w:rFonts w:hint="default" w:ascii="Times New Roman" w:hAnsi="Times New Roman" w:eastAsia="宋体" w:cs="Times New Roman"/>
                      <w:b/>
                      <w:bCs/>
                      <w:color w:val="auto"/>
                      <w:sz w:val="21"/>
                      <w:szCs w:val="21"/>
                      <w:highlight w:val="none"/>
                      <w:lang w:val="en-US" w:eastAsia="zh-CN"/>
                    </w:rPr>
                    <w:t>mg/L）</w:t>
                  </w:r>
                </w:p>
              </w:tc>
              <w:tc>
                <w:tcPr>
                  <w:tcW w:w="588" w:type="pct"/>
                  <w:tcBorders>
                    <w:tl2br w:val="nil"/>
                    <w:tr2bl w:val="nil"/>
                  </w:tcBorders>
                  <w:noWrap w:val="0"/>
                  <w:vAlign w:val="center"/>
                </w:tcPr>
                <w:p w14:paraId="12B0F3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lang w:eastAsia="zh-CN"/>
                    </w:rPr>
                    <w:t>排放量（</w:t>
                  </w:r>
                  <w:r>
                    <w:rPr>
                      <w:rFonts w:hint="default" w:ascii="Times New Roman" w:hAnsi="Times New Roman" w:eastAsia="宋体" w:cs="Times New Roman"/>
                      <w:b/>
                      <w:bCs/>
                      <w:color w:val="auto"/>
                      <w:sz w:val="21"/>
                      <w:szCs w:val="21"/>
                      <w:highlight w:val="none"/>
                      <w:lang w:val="en-US" w:eastAsia="zh-CN"/>
                    </w:rPr>
                    <w:t>t/a）</w:t>
                  </w:r>
                </w:p>
              </w:tc>
              <w:tc>
                <w:tcPr>
                  <w:tcW w:w="667" w:type="pct"/>
                  <w:vMerge w:val="continue"/>
                  <w:tcBorders>
                    <w:tl2br w:val="nil"/>
                    <w:tr2bl w:val="nil"/>
                  </w:tcBorders>
                  <w:noWrap w:val="0"/>
                  <w:vAlign w:val="center"/>
                </w:tcPr>
                <w:p w14:paraId="552F28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eastAsia="zh-CN"/>
                    </w:rPr>
                  </w:pPr>
                </w:p>
              </w:tc>
            </w:tr>
            <w:tr w14:paraId="235875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4" w:type="pct"/>
                  <w:vMerge w:val="restart"/>
                  <w:tcBorders>
                    <w:tl2br w:val="nil"/>
                    <w:tr2bl w:val="nil"/>
                  </w:tcBorders>
                  <w:noWrap w:val="0"/>
                  <w:vAlign w:val="center"/>
                </w:tcPr>
                <w:p w14:paraId="58A83B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生活污水</w:t>
                  </w:r>
                </w:p>
              </w:tc>
              <w:tc>
                <w:tcPr>
                  <w:tcW w:w="543" w:type="pct"/>
                  <w:vMerge w:val="restart"/>
                  <w:tcBorders>
                    <w:tl2br w:val="nil"/>
                    <w:tr2bl w:val="nil"/>
                  </w:tcBorders>
                  <w:noWrap w:val="0"/>
                  <w:vAlign w:val="center"/>
                </w:tcPr>
                <w:p w14:paraId="77D941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216</w:t>
                  </w:r>
                </w:p>
              </w:tc>
              <w:tc>
                <w:tcPr>
                  <w:tcW w:w="588" w:type="pct"/>
                  <w:tcBorders>
                    <w:tl2br w:val="nil"/>
                    <w:tr2bl w:val="nil"/>
                  </w:tcBorders>
                  <w:noWrap w:val="0"/>
                  <w:vAlign w:val="center"/>
                </w:tcPr>
                <w:p w14:paraId="006C70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pH</w:t>
                  </w:r>
                </w:p>
              </w:tc>
              <w:tc>
                <w:tcPr>
                  <w:tcW w:w="660" w:type="pct"/>
                  <w:tcBorders>
                    <w:tl2br w:val="nil"/>
                    <w:tr2bl w:val="nil"/>
                  </w:tcBorders>
                  <w:noWrap w:val="0"/>
                  <w:vAlign w:val="center"/>
                </w:tcPr>
                <w:p w14:paraId="058D3A8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6~9</w:t>
                  </w:r>
                </w:p>
                <w:p w14:paraId="36B50F5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（无量纲）</w:t>
                  </w:r>
                </w:p>
              </w:tc>
              <w:tc>
                <w:tcPr>
                  <w:tcW w:w="603" w:type="pct"/>
                  <w:tcBorders>
                    <w:tl2br w:val="nil"/>
                    <w:tr2bl w:val="nil"/>
                  </w:tcBorders>
                  <w:noWrap w:val="0"/>
                  <w:vAlign w:val="center"/>
                </w:tcPr>
                <w:p w14:paraId="6A4B0E1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w:t>
                  </w:r>
                </w:p>
              </w:tc>
              <w:tc>
                <w:tcPr>
                  <w:tcW w:w="456" w:type="pct"/>
                  <w:tcBorders>
                    <w:tl2br w:val="nil"/>
                    <w:tr2bl w:val="nil"/>
                  </w:tcBorders>
                  <w:noWrap w:val="0"/>
                  <w:vAlign w:val="center"/>
                </w:tcPr>
                <w:p w14:paraId="11C8DF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w:t>
                  </w:r>
                </w:p>
              </w:tc>
              <w:tc>
                <w:tcPr>
                  <w:tcW w:w="607" w:type="pct"/>
                  <w:tcBorders>
                    <w:tl2br w:val="nil"/>
                    <w:tr2bl w:val="nil"/>
                  </w:tcBorders>
                  <w:noWrap w:val="0"/>
                  <w:vAlign w:val="center"/>
                </w:tcPr>
                <w:p w14:paraId="7DCBD9C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w:t>
                  </w:r>
                </w:p>
              </w:tc>
              <w:tc>
                <w:tcPr>
                  <w:tcW w:w="588" w:type="pct"/>
                  <w:tcBorders>
                    <w:tl2br w:val="nil"/>
                    <w:tr2bl w:val="nil"/>
                  </w:tcBorders>
                  <w:noWrap w:val="0"/>
                  <w:vAlign w:val="center"/>
                </w:tcPr>
                <w:p w14:paraId="0E2A71C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w:t>
                  </w:r>
                </w:p>
              </w:tc>
              <w:tc>
                <w:tcPr>
                  <w:tcW w:w="667" w:type="pct"/>
                  <w:tcBorders>
                    <w:tl2br w:val="nil"/>
                    <w:tr2bl w:val="nil"/>
                  </w:tcBorders>
                  <w:noWrap w:val="0"/>
                  <w:vAlign w:val="center"/>
                </w:tcPr>
                <w:p w14:paraId="45BAD70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6~9</w:t>
                  </w:r>
                </w:p>
                <w:p w14:paraId="6F7E525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（无量纲）</w:t>
                  </w:r>
                </w:p>
              </w:tc>
            </w:tr>
            <w:tr w14:paraId="45EBA3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84" w:type="pct"/>
                  <w:vMerge w:val="continue"/>
                  <w:tcBorders>
                    <w:tl2br w:val="nil"/>
                    <w:tr2bl w:val="nil"/>
                  </w:tcBorders>
                  <w:noWrap w:val="0"/>
                  <w:vAlign w:val="center"/>
                </w:tcPr>
                <w:p w14:paraId="118CFB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543" w:type="pct"/>
                  <w:vMerge w:val="continue"/>
                  <w:tcBorders>
                    <w:tl2br w:val="nil"/>
                    <w:tr2bl w:val="nil"/>
                  </w:tcBorders>
                  <w:noWrap w:val="0"/>
                  <w:vAlign w:val="center"/>
                </w:tcPr>
                <w:p w14:paraId="0AE344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588" w:type="pct"/>
                  <w:tcBorders>
                    <w:tl2br w:val="nil"/>
                    <w:tr2bl w:val="nil"/>
                  </w:tcBorders>
                  <w:noWrap w:val="0"/>
                  <w:vAlign w:val="center"/>
                </w:tcPr>
                <w:p w14:paraId="57C75F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COD</w:t>
                  </w:r>
                </w:p>
              </w:tc>
              <w:tc>
                <w:tcPr>
                  <w:tcW w:w="660" w:type="pct"/>
                  <w:tcBorders>
                    <w:tl2br w:val="nil"/>
                    <w:tr2bl w:val="nil"/>
                  </w:tcBorders>
                  <w:noWrap w:val="0"/>
                  <w:vAlign w:val="center"/>
                </w:tcPr>
                <w:p w14:paraId="5F44AE0A">
                  <w:pPr>
                    <w:keepNext w:val="0"/>
                    <w:keepLines w:val="0"/>
                    <w:pageBreakBefore w:val="0"/>
                    <w:widowControl/>
                    <w:kinsoku/>
                    <w:wordWrap/>
                    <w:overflowPunct/>
                    <w:topLinePunct w:val="0"/>
                    <w:bidi w:val="0"/>
                    <w:spacing w:line="240" w:lineRule="auto"/>
                    <w:ind w:firstLine="0" w:firstLineChars="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color w:val="auto"/>
                      <w:kern w:val="0"/>
                      <w:sz w:val="21"/>
                      <w:szCs w:val="21"/>
                    </w:rPr>
                    <w:t>4</w:t>
                  </w:r>
                  <w:r>
                    <w:rPr>
                      <w:rFonts w:hint="eastAsia"/>
                      <w:color w:val="auto"/>
                      <w:kern w:val="0"/>
                      <w:sz w:val="21"/>
                      <w:szCs w:val="21"/>
                      <w:lang w:val="en-US" w:eastAsia="zh-CN"/>
                    </w:rPr>
                    <w:t>00</w:t>
                  </w:r>
                </w:p>
              </w:tc>
              <w:tc>
                <w:tcPr>
                  <w:tcW w:w="1097" w:type="dxa"/>
                  <w:tcBorders>
                    <w:tl2br w:val="nil"/>
                    <w:tr2bl w:val="nil"/>
                  </w:tcBorders>
                  <w:noWrap w:val="0"/>
                  <w:vAlign w:val="center"/>
                </w:tcPr>
                <w:p w14:paraId="1A1733A8">
                  <w:pPr>
                    <w:keepNext w:val="0"/>
                    <w:keepLines w:val="0"/>
                    <w:pageBreakBefore w:val="0"/>
                    <w:widowControl/>
                    <w:kinsoku/>
                    <w:wordWrap/>
                    <w:overflowPunct/>
                    <w:topLinePunct w:val="0"/>
                    <w:bidi w:val="0"/>
                    <w:spacing w:line="240" w:lineRule="auto"/>
                    <w:ind w:firstLine="0" w:firstLineChars="0"/>
                    <w:jc w:val="center"/>
                    <w:textAlignment w:val="center"/>
                    <w:rPr>
                      <w:rFonts w:hint="default"/>
                      <w:color w:val="auto"/>
                      <w:kern w:val="0"/>
                      <w:sz w:val="21"/>
                      <w:szCs w:val="21"/>
                      <w:lang w:val="en-US" w:eastAsia="zh-CN"/>
                    </w:rPr>
                  </w:pPr>
                  <w:r>
                    <w:rPr>
                      <w:rFonts w:hint="default"/>
                      <w:color w:val="auto"/>
                      <w:kern w:val="0"/>
                      <w:sz w:val="21"/>
                      <w:szCs w:val="21"/>
                      <w:lang w:val="en-US" w:eastAsia="zh-CN"/>
                    </w:rPr>
                    <w:t xml:space="preserve">0.086 </w:t>
                  </w:r>
                </w:p>
              </w:tc>
              <w:tc>
                <w:tcPr>
                  <w:tcW w:w="456" w:type="pct"/>
                  <w:tcBorders>
                    <w:tl2br w:val="nil"/>
                    <w:tr2bl w:val="nil"/>
                  </w:tcBorders>
                  <w:noWrap w:val="0"/>
                  <w:vAlign w:val="center"/>
                </w:tcPr>
                <w:p w14:paraId="1838928A">
                  <w:pPr>
                    <w:keepNext w:val="0"/>
                    <w:keepLines w:val="0"/>
                    <w:pageBreakBefore w:val="0"/>
                    <w:widowControl/>
                    <w:suppressLineNumbers w:val="0"/>
                    <w:kinsoku/>
                    <w:wordWrap/>
                    <w:overflowPunct/>
                    <w:topLinePunct w:val="0"/>
                    <w:bidi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607" w:type="pct"/>
                  <w:tcBorders>
                    <w:tl2br w:val="nil"/>
                    <w:tr2bl w:val="nil"/>
                  </w:tcBorders>
                  <w:noWrap w:val="0"/>
                  <w:vAlign w:val="center"/>
                </w:tcPr>
                <w:p w14:paraId="161B850C">
                  <w:pPr>
                    <w:keepNext w:val="0"/>
                    <w:keepLines w:val="0"/>
                    <w:pageBreakBefore w:val="0"/>
                    <w:widowControl/>
                    <w:suppressLineNumbers w:val="0"/>
                    <w:kinsoku/>
                    <w:wordWrap/>
                    <w:overflowPunct/>
                    <w:topLinePunct w:val="0"/>
                    <w:bidi w:val="0"/>
                    <w:spacing w:line="240" w:lineRule="auto"/>
                    <w:ind w:firstLine="0" w:firstLineChars="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340</w:t>
                  </w:r>
                </w:p>
              </w:tc>
              <w:tc>
                <w:tcPr>
                  <w:tcW w:w="1072" w:type="dxa"/>
                  <w:tcBorders>
                    <w:tl2br w:val="nil"/>
                    <w:tr2bl w:val="nil"/>
                  </w:tcBorders>
                  <w:noWrap w:val="0"/>
                  <w:vAlign w:val="center"/>
                </w:tcPr>
                <w:p w14:paraId="1D650A78">
                  <w:pPr>
                    <w:keepNext w:val="0"/>
                    <w:keepLines w:val="0"/>
                    <w:pageBreakBefore w:val="0"/>
                    <w:widowControl/>
                    <w:kinsoku/>
                    <w:wordWrap/>
                    <w:overflowPunct/>
                    <w:topLinePunct w:val="0"/>
                    <w:bidi w:val="0"/>
                    <w:spacing w:line="240" w:lineRule="auto"/>
                    <w:ind w:firstLine="0" w:firstLineChars="0"/>
                    <w:jc w:val="center"/>
                    <w:textAlignment w:val="center"/>
                    <w:rPr>
                      <w:rFonts w:hint="default"/>
                      <w:color w:val="auto"/>
                      <w:kern w:val="0"/>
                      <w:sz w:val="21"/>
                      <w:szCs w:val="21"/>
                      <w:lang w:val="en-US" w:eastAsia="zh-CN"/>
                    </w:rPr>
                  </w:pPr>
                  <w:r>
                    <w:rPr>
                      <w:rFonts w:hint="default"/>
                      <w:color w:val="auto"/>
                      <w:kern w:val="0"/>
                      <w:sz w:val="21"/>
                      <w:szCs w:val="21"/>
                      <w:lang w:val="en-US" w:eastAsia="zh-CN"/>
                    </w:rPr>
                    <w:t xml:space="preserve">0.073 </w:t>
                  </w:r>
                </w:p>
              </w:tc>
              <w:tc>
                <w:tcPr>
                  <w:tcW w:w="667" w:type="pct"/>
                  <w:tcBorders>
                    <w:tl2br w:val="nil"/>
                    <w:tr2bl w:val="nil"/>
                  </w:tcBorders>
                  <w:noWrap w:val="0"/>
                  <w:vAlign w:val="center"/>
                </w:tcPr>
                <w:p w14:paraId="6BDB7D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b w:val="0"/>
                      <w:bCs w:val="0"/>
                      <w:color w:val="auto"/>
                      <w:kern w:val="2"/>
                      <w:sz w:val="21"/>
                      <w:szCs w:val="21"/>
                      <w:highlight w:val="none"/>
                      <w:lang w:val="en-US" w:eastAsia="zh-CN" w:bidi="ar-SA"/>
                    </w:rPr>
                    <w:t>500</w:t>
                  </w:r>
                </w:p>
              </w:tc>
            </w:tr>
            <w:tr w14:paraId="24122D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84" w:type="pct"/>
                  <w:vMerge w:val="continue"/>
                  <w:tcBorders>
                    <w:tl2br w:val="nil"/>
                    <w:tr2bl w:val="nil"/>
                  </w:tcBorders>
                  <w:noWrap w:val="0"/>
                  <w:vAlign w:val="center"/>
                </w:tcPr>
                <w:p w14:paraId="2144DC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543" w:type="pct"/>
                  <w:vMerge w:val="continue"/>
                  <w:tcBorders>
                    <w:tl2br w:val="nil"/>
                    <w:tr2bl w:val="nil"/>
                  </w:tcBorders>
                  <w:noWrap w:val="0"/>
                  <w:vAlign w:val="center"/>
                </w:tcPr>
                <w:p w14:paraId="6E9CB5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588" w:type="pct"/>
                  <w:tcBorders>
                    <w:tl2br w:val="nil"/>
                    <w:tr2bl w:val="nil"/>
                  </w:tcBorders>
                  <w:noWrap w:val="0"/>
                  <w:vAlign w:val="center"/>
                </w:tcPr>
                <w:p w14:paraId="5EF54C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BOD</w:t>
                  </w:r>
                  <w:r>
                    <w:rPr>
                      <w:rFonts w:hint="default" w:ascii="Times New Roman" w:hAnsi="Times New Roman" w:eastAsia="宋体" w:cs="Times New Roman"/>
                      <w:color w:val="auto"/>
                      <w:sz w:val="21"/>
                      <w:szCs w:val="21"/>
                      <w:highlight w:val="none"/>
                      <w:vertAlign w:val="subscript"/>
                      <w:lang w:val="en-US" w:eastAsia="zh-CN"/>
                    </w:rPr>
                    <w:t>5</w:t>
                  </w:r>
                </w:p>
              </w:tc>
              <w:tc>
                <w:tcPr>
                  <w:tcW w:w="660" w:type="pct"/>
                  <w:tcBorders>
                    <w:tl2br w:val="nil"/>
                    <w:tr2bl w:val="nil"/>
                  </w:tcBorders>
                  <w:noWrap w:val="0"/>
                  <w:vAlign w:val="center"/>
                </w:tcPr>
                <w:p w14:paraId="0973A709">
                  <w:pPr>
                    <w:keepNext w:val="0"/>
                    <w:keepLines w:val="0"/>
                    <w:pageBreakBefore w:val="0"/>
                    <w:widowControl/>
                    <w:kinsoku/>
                    <w:wordWrap/>
                    <w:overflowPunct/>
                    <w:topLinePunct w:val="0"/>
                    <w:bidi w:val="0"/>
                    <w:spacing w:line="240" w:lineRule="auto"/>
                    <w:ind w:firstLine="0" w:firstLineChars="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color w:val="auto"/>
                      <w:kern w:val="0"/>
                      <w:sz w:val="21"/>
                      <w:szCs w:val="21"/>
                    </w:rPr>
                    <w:t>2</w:t>
                  </w:r>
                  <w:r>
                    <w:rPr>
                      <w:rFonts w:hint="eastAsia"/>
                      <w:color w:val="auto"/>
                      <w:kern w:val="0"/>
                      <w:sz w:val="21"/>
                      <w:szCs w:val="21"/>
                      <w:lang w:val="en-US" w:eastAsia="zh-CN"/>
                    </w:rPr>
                    <w:t>20</w:t>
                  </w:r>
                </w:p>
              </w:tc>
              <w:tc>
                <w:tcPr>
                  <w:tcW w:w="1097" w:type="dxa"/>
                  <w:tcBorders>
                    <w:tl2br w:val="nil"/>
                    <w:tr2bl w:val="nil"/>
                  </w:tcBorders>
                  <w:noWrap w:val="0"/>
                  <w:vAlign w:val="center"/>
                </w:tcPr>
                <w:p w14:paraId="50BFD9D4">
                  <w:pPr>
                    <w:keepNext w:val="0"/>
                    <w:keepLines w:val="0"/>
                    <w:pageBreakBefore w:val="0"/>
                    <w:widowControl/>
                    <w:kinsoku/>
                    <w:wordWrap/>
                    <w:overflowPunct/>
                    <w:topLinePunct w:val="0"/>
                    <w:bidi w:val="0"/>
                    <w:spacing w:line="240" w:lineRule="auto"/>
                    <w:ind w:firstLine="0" w:firstLineChars="0"/>
                    <w:jc w:val="center"/>
                    <w:textAlignment w:val="center"/>
                    <w:rPr>
                      <w:rFonts w:hint="default"/>
                      <w:color w:val="auto"/>
                      <w:kern w:val="0"/>
                      <w:sz w:val="21"/>
                      <w:szCs w:val="21"/>
                      <w:lang w:val="en-US" w:eastAsia="zh-CN"/>
                    </w:rPr>
                  </w:pPr>
                  <w:r>
                    <w:rPr>
                      <w:rFonts w:hint="default"/>
                      <w:color w:val="auto"/>
                      <w:kern w:val="0"/>
                      <w:sz w:val="21"/>
                      <w:szCs w:val="21"/>
                      <w:lang w:val="en-US" w:eastAsia="zh-CN"/>
                    </w:rPr>
                    <w:t>0.04</w:t>
                  </w:r>
                  <w:r>
                    <w:rPr>
                      <w:rFonts w:hint="eastAsia"/>
                      <w:color w:val="auto"/>
                      <w:kern w:val="0"/>
                      <w:sz w:val="21"/>
                      <w:szCs w:val="21"/>
                      <w:lang w:val="en-US" w:eastAsia="zh-CN"/>
                    </w:rPr>
                    <w:t>8</w:t>
                  </w:r>
                  <w:r>
                    <w:rPr>
                      <w:rFonts w:hint="default"/>
                      <w:color w:val="auto"/>
                      <w:kern w:val="0"/>
                      <w:sz w:val="21"/>
                      <w:szCs w:val="21"/>
                      <w:lang w:val="en-US" w:eastAsia="zh-CN"/>
                    </w:rPr>
                    <w:t xml:space="preserve"> </w:t>
                  </w:r>
                </w:p>
              </w:tc>
              <w:tc>
                <w:tcPr>
                  <w:tcW w:w="456" w:type="pct"/>
                  <w:tcBorders>
                    <w:tl2br w:val="nil"/>
                    <w:tr2bl w:val="nil"/>
                  </w:tcBorders>
                  <w:noWrap w:val="0"/>
                  <w:vAlign w:val="center"/>
                </w:tcPr>
                <w:p w14:paraId="2942838E">
                  <w:pPr>
                    <w:keepNext w:val="0"/>
                    <w:keepLines w:val="0"/>
                    <w:pageBreakBefore w:val="0"/>
                    <w:widowControl/>
                    <w:suppressLineNumbers w:val="0"/>
                    <w:kinsoku/>
                    <w:wordWrap/>
                    <w:overflowPunct/>
                    <w:topLinePunct w:val="0"/>
                    <w:bidi w:val="0"/>
                    <w:spacing w:line="240" w:lineRule="auto"/>
                    <w:ind w:firstLine="0" w:firstLineChars="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9</w:t>
                  </w:r>
                </w:p>
              </w:tc>
              <w:tc>
                <w:tcPr>
                  <w:tcW w:w="607" w:type="pct"/>
                  <w:tcBorders>
                    <w:tl2br w:val="nil"/>
                    <w:tr2bl w:val="nil"/>
                  </w:tcBorders>
                  <w:noWrap w:val="0"/>
                  <w:vAlign w:val="center"/>
                </w:tcPr>
                <w:p w14:paraId="4533E319">
                  <w:pPr>
                    <w:keepNext w:val="0"/>
                    <w:keepLines w:val="0"/>
                    <w:pageBreakBefore w:val="0"/>
                    <w:widowControl/>
                    <w:suppressLineNumbers w:val="0"/>
                    <w:kinsoku/>
                    <w:wordWrap/>
                    <w:overflowPunct/>
                    <w:topLinePunct w:val="0"/>
                    <w:bidi w:val="0"/>
                    <w:spacing w:line="240" w:lineRule="auto"/>
                    <w:ind w:firstLine="0" w:firstLineChars="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200.2</w:t>
                  </w:r>
                </w:p>
              </w:tc>
              <w:tc>
                <w:tcPr>
                  <w:tcW w:w="1072" w:type="dxa"/>
                  <w:tcBorders>
                    <w:tl2br w:val="nil"/>
                    <w:tr2bl w:val="nil"/>
                  </w:tcBorders>
                  <w:noWrap w:val="0"/>
                  <w:vAlign w:val="center"/>
                </w:tcPr>
                <w:p w14:paraId="0CD40143">
                  <w:pPr>
                    <w:keepNext w:val="0"/>
                    <w:keepLines w:val="0"/>
                    <w:pageBreakBefore w:val="0"/>
                    <w:widowControl/>
                    <w:kinsoku/>
                    <w:wordWrap/>
                    <w:overflowPunct/>
                    <w:topLinePunct w:val="0"/>
                    <w:bidi w:val="0"/>
                    <w:spacing w:line="240" w:lineRule="auto"/>
                    <w:ind w:firstLine="0" w:firstLineChars="0"/>
                    <w:jc w:val="center"/>
                    <w:textAlignment w:val="center"/>
                    <w:rPr>
                      <w:rFonts w:hint="default"/>
                      <w:color w:val="auto"/>
                      <w:kern w:val="0"/>
                      <w:sz w:val="21"/>
                      <w:szCs w:val="21"/>
                      <w:lang w:val="en-US" w:eastAsia="zh-CN"/>
                    </w:rPr>
                  </w:pPr>
                  <w:r>
                    <w:rPr>
                      <w:rFonts w:hint="default"/>
                      <w:color w:val="auto"/>
                      <w:kern w:val="0"/>
                      <w:sz w:val="21"/>
                      <w:szCs w:val="21"/>
                      <w:lang w:val="en-US" w:eastAsia="zh-CN"/>
                    </w:rPr>
                    <w:t xml:space="preserve">0.043 </w:t>
                  </w:r>
                </w:p>
              </w:tc>
              <w:tc>
                <w:tcPr>
                  <w:tcW w:w="667" w:type="pct"/>
                  <w:tcBorders>
                    <w:tl2br w:val="nil"/>
                    <w:tr2bl w:val="nil"/>
                  </w:tcBorders>
                  <w:noWrap w:val="0"/>
                  <w:vAlign w:val="center"/>
                </w:tcPr>
                <w:p w14:paraId="46ED88C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b w:val="0"/>
                      <w:bCs w:val="0"/>
                      <w:color w:val="auto"/>
                      <w:kern w:val="2"/>
                      <w:sz w:val="21"/>
                      <w:szCs w:val="21"/>
                      <w:highlight w:val="none"/>
                      <w:lang w:val="en-US" w:eastAsia="zh-CN" w:bidi="ar-SA"/>
                    </w:rPr>
                    <w:t>300</w:t>
                  </w:r>
                </w:p>
              </w:tc>
            </w:tr>
            <w:tr w14:paraId="7DC8C3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84" w:type="pct"/>
                  <w:vMerge w:val="continue"/>
                  <w:tcBorders>
                    <w:tl2br w:val="nil"/>
                    <w:tr2bl w:val="nil"/>
                  </w:tcBorders>
                  <w:noWrap w:val="0"/>
                  <w:vAlign w:val="center"/>
                </w:tcPr>
                <w:p w14:paraId="3E6B4C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543" w:type="pct"/>
                  <w:vMerge w:val="continue"/>
                  <w:tcBorders>
                    <w:tl2br w:val="nil"/>
                    <w:tr2bl w:val="nil"/>
                  </w:tcBorders>
                  <w:noWrap w:val="0"/>
                  <w:vAlign w:val="center"/>
                </w:tcPr>
                <w:p w14:paraId="425DF0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588" w:type="pct"/>
                  <w:tcBorders>
                    <w:tl2br w:val="nil"/>
                    <w:tr2bl w:val="nil"/>
                  </w:tcBorders>
                  <w:noWrap w:val="0"/>
                  <w:vAlign w:val="center"/>
                </w:tcPr>
                <w:p w14:paraId="57F006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悬浮物</w:t>
                  </w:r>
                </w:p>
              </w:tc>
              <w:tc>
                <w:tcPr>
                  <w:tcW w:w="660" w:type="pct"/>
                  <w:tcBorders>
                    <w:tl2br w:val="nil"/>
                    <w:tr2bl w:val="nil"/>
                  </w:tcBorders>
                  <w:noWrap w:val="0"/>
                  <w:vAlign w:val="center"/>
                </w:tcPr>
                <w:p w14:paraId="0845BDC7">
                  <w:pPr>
                    <w:keepNext w:val="0"/>
                    <w:keepLines w:val="0"/>
                    <w:pageBreakBefore w:val="0"/>
                    <w:widowControl/>
                    <w:kinsoku/>
                    <w:wordWrap/>
                    <w:overflowPunct/>
                    <w:topLinePunct w:val="0"/>
                    <w:bidi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color w:val="auto"/>
                      <w:kern w:val="0"/>
                      <w:sz w:val="21"/>
                      <w:szCs w:val="21"/>
                    </w:rPr>
                    <w:t>2</w:t>
                  </w:r>
                  <w:r>
                    <w:rPr>
                      <w:rFonts w:hint="eastAsia"/>
                      <w:color w:val="auto"/>
                      <w:kern w:val="0"/>
                      <w:sz w:val="21"/>
                      <w:szCs w:val="21"/>
                      <w:lang w:val="en-US" w:eastAsia="zh-CN"/>
                    </w:rPr>
                    <w:t>0</w:t>
                  </w:r>
                  <w:r>
                    <w:rPr>
                      <w:color w:val="auto"/>
                      <w:kern w:val="0"/>
                      <w:sz w:val="21"/>
                      <w:szCs w:val="21"/>
                    </w:rPr>
                    <w:t>0</w:t>
                  </w:r>
                </w:p>
              </w:tc>
              <w:tc>
                <w:tcPr>
                  <w:tcW w:w="1097" w:type="dxa"/>
                  <w:tcBorders>
                    <w:tl2br w:val="nil"/>
                    <w:tr2bl w:val="nil"/>
                  </w:tcBorders>
                  <w:noWrap w:val="0"/>
                  <w:vAlign w:val="center"/>
                </w:tcPr>
                <w:p w14:paraId="631570CB">
                  <w:pPr>
                    <w:keepNext w:val="0"/>
                    <w:keepLines w:val="0"/>
                    <w:pageBreakBefore w:val="0"/>
                    <w:widowControl/>
                    <w:kinsoku/>
                    <w:wordWrap/>
                    <w:overflowPunct/>
                    <w:topLinePunct w:val="0"/>
                    <w:bidi w:val="0"/>
                    <w:spacing w:line="240" w:lineRule="auto"/>
                    <w:ind w:firstLine="0" w:firstLineChars="0"/>
                    <w:jc w:val="center"/>
                    <w:textAlignment w:val="center"/>
                    <w:rPr>
                      <w:rFonts w:hint="default"/>
                      <w:color w:val="auto"/>
                      <w:kern w:val="0"/>
                      <w:sz w:val="21"/>
                      <w:szCs w:val="21"/>
                      <w:lang w:val="en-US" w:eastAsia="zh-CN"/>
                    </w:rPr>
                  </w:pPr>
                  <w:r>
                    <w:rPr>
                      <w:rFonts w:hint="default"/>
                      <w:color w:val="auto"/>
                      <w:kern w:val="0"/>
                      <w:sz w:val="21"/>
                      <w:szCs w:val="21"/>
                      <w:lang w:val="en-US" w:eastAsia="zh-CN"/>
                    </w:rPr>
                    <w:t xml:space="preserve">0.043 </w:t>
                  </w:r>
                </w:p>
              </w:tc>
              <w:tc>
                <w:tcPr>
                  <w:tcW w:w="456" w:type="pct"/>
                  <w:tcBorders>
                    <w:tl2br w:val="nil"/>
                    <w:tr2bl w:val="nil"/>
                  </w:tcBorders>
                  <w:noWrap w:val="0"/>
                  <w:vAlign w:val="center"/>
                </w:tcPr>
                <w:p w14:paraId="7A7D1D28">
                  <w:pPr>
                    <w:keepNext w:val="0"/>
                    <w:keepLines w:val="0"/>
                    <w:pageBreakBefore w:val="0"/>
                    <w:widowControl/>
                    <w:suppressLineNumbers w:val="0"/>
                    <w:kinsoku/>
                    <w:wordWrap/>
                    <w:overflowPunct/>
                    <w:topLinePunct w:val="0"/>
                    <w:bidi w:val="0"/>
                    <w:spacing w:line="240" w:lineRule="auto"/>
                    <w:ind w:firstLine="0" w:firstLineChars="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30</w:t>
                  </w:r>
                </w:p>
              </w:tc>
              <w:tc>
                <w:tcPr>
                  <w:tcW w:w="607" w:type="pct"/>
                  <w:tcBorders>
                    <w:tl2br w:val="nil"/>
                    <w:tr2bl w:val="nil"/>
                  </w:tcBorders>
                  <w:noWrap w:val="0"/>
                  <w:vAlign w:val="center"/>
                </w:tcPr>
                <w:p w14:paraId="13895A02">
                  <w:pPr>
                    <w:keepNext w:val="0"/>
                    <w:keepLines w:val="0"/>
                    <w:pageBreakBefore w:val="0"/>
                    <w:widowControl/>
                    <w:suppressLineNumbers w:val="0"/>
                    <w:kinsoku/>
                    <w:wordWrap/>
                    <w:overflowPunct/>
                    <w:topLinePunct w:val="0"/>
                    <w:bidi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140</w:t>
                  </w:r>
                </w:p>
              </w:tc>
              <w:tc>
                <w:tcPr>
                  <w:tcW w:w="1072" w:type="dxa"/>
                  <w:tcBorders>
                    <w:tl2br w:val="nil"/>
                    <w:tr2bl w:val="nil"/>
                  </w:tcBorders>
                  <w:noWrap w:val="0"/>
                  <w:vAlign w:val="center"/>
                </w:tcPr>
                <w:p w14:paraId="5C19A1B2">
                  <w:pPr>
                    <w:keepNext w:val="0"/>
                    <w:keepLines w:val="0"/>
                    <w:pageBreakBefore w:val="0"/>
                    <w:widowControl/>
                    <w:kinsoku/>
                    <w:wordWrap/>
                    <w:overflowPunct/>
                    <w:topLinePunct w:val="0"/>
                    <w:bidi w:val="0"/>
                    <w:spacing w:line="240" w:lineRule="auto"/>
                    <w:ind w:firstLine="0" w:firstLineChars="0"/>
                    <w:jc w:val="center"/>
                    <w:textAlignment w:val="center"/>
                    <w:rPr>
                      <w:rFonts w:hint="default"/>
                      <w:color w:val="auto"/>
                      <w:kern w:val="0"/>
                      <w:sz w:val="21"/>
                      <w:szCs w:val="21"/>
                      <w:lang w:val="en-US" w:eastAsia="zh-CN"/>
                    </w:rPr>
                  </w:pPr>
                  <w:r>
                    <w:rPr>
                      <w:rFonts w:hint="default"/>
                      <w:color w:val="auto"/>
                      <w:kern w:val="0"/>
                      <w:sz w:val="21"/>
                      <w:szCs w:val="21"/>
                      <w:lang w:val="en-US" w:eastAsia="zh-CN"/>
                    </w:rPr>
                    <w:t xml:space="preserve">0.030 </w:t>
                  </w:r>
                </w:p>
              </w:tc>
              <w:tc>
                <w:tcPr>
                  <w:tcW w:w="667" w:type="pct"/>
                  <w:tcBorders>
                    <w:tl2br w:val="nil"/>
                    <w:tr2bl w:val="nil"/>
                  </w:tcBorders>
                  <w:noWrap w:val="0"/>
                  <w:vAlign w:val="center"/>
                </w:tcPr>
                <w:p w14:paraId="124CCD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sz w:val="21"/>
                      <w:szCs w:val="21"/>
                      <w:highlight w:val="none"/>
                      <w:vertAlign w:val="baseline"/>
                      <w:lang w:val="en-US" w:eastAsia="zh-CN"/>
                    </w:rPr>
                    <w:t>400</w:t>
                  </w:r>
                </w:p>
              </w:tc>
            </w:tr>
            <w:tr w14:paraId="0C99E4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84" w:type="pct"/>
                  <w:vMerge w:val="continue"/>
                  <w:tcBorders>
                    <w:tl2br w:val="nil"/>
                    <w:tr2bl w:val="nil"/>
                  </w:tcBorders>
                  <w:noWrap w:val="0"/>
                  <w:vAlign w:val="center"/>
                </w:tcPr>
                <w:p w14:paraId="3F39AB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543" w:type="pct"/>
                  <w:vMerge w:val="continue"/>
                  <w:tcBorders>
                    <w:tl2br w:val="nil"/>
                    <w:tr2bl w:val="nil"/>
                  </w:tcBorders>
                  <w:noWrap w:val="0"/>
                  <w:vAlign w:val="center"/>
                </w:tcPr>
                <w:p w14:paraId="44D1F1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588" w:type="pct"/>
                  <w:tcBorders>
                    <w:tl2br w:val="nil"/>
                    <w:tr2bl w:val="nil"/>
                  </w:tcBorders>
                  <w:noWrap w:val="0"/>
                  <w:vAlign w:val="center"/>
                </w:tcPr>
                <w:p w14:paraId="79BFB9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氨氮</w:t>
                  </w:r>
                </w:p>
              </w:tc>
              <w:tc>
                <w:tcPr>
                  <w:tcW w:w="660" w:type="pct"/>
                  <w:tcBorders>
                    <w:tl2br w:val="nil"/>
                    <w:tr2bl w:val="nil"/>
                  </w:tcBorders>
                  <w:noWrap w:val="0"/>
                  <w:vAlign w:val="center"/>
                </w:tcPr>
                <w:p w14:paraId="0CD3DA85">
                  <w:pPr>
                    <w:keepNext w:val="0"/>
                    <w:keepLines w:val="0"/>
                    <w:pageBreakBefore w:val="0"/>
                    <w:widowControl/>
                    <w:kinsoku/>
                    <w:wordWrap/>
                    <w:overflowPunct/>
                    <w:topLinePunct w:val="0"/>
                    <w:bidi w:val="0"/>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kern w:val="0"/>
                      <w:sz w:val="21"/>
                      <w:szCs w:val="21"/>
                      <w:lang w:val="en-US" w:eastAsia="zh-CN"/>
                    </w:rPr>
                    <w:t>25</w:t>
                  </w:r>
                </w:p>
              </w:tc>
              <w:tc>
                <w:tcPr>
                  <w:tcW w:w="1097" w:type="dxa"/>
                  <w:tcBorders>
                    <w:tl2br w:val="nil"/>
                    <w:tr2bl w:val="nil"/>
                  </w:tcBorders>
                  <w:noWrap w:val="0"/>
                  <w:vAlign w:val="center"/>
                </w:tcPr>
                <w:p w14:paraId="32E2E849">
                  <w:pPr>
                    <w:keepNext w:val="0"/>
                    <w:keepLines w:val="0"/>
                    <w:pageBreakBefore w:val="0"/>
                    <w:widowControl/>
                    <w:kinsoku/>
                    <w:wordWrap/>
                    <w:overflowPunct/>
                    <w:topLinePunct w:val="0"/>
                    <w:bidi w:val="0"/>
                    <w:spacing w:line="240" w:lineRule="auto"/>
                    <w:ind w:firstLine="0" w:firstLineChars="0"/>
                    <w:jc w:val="center"/>
                    <w:textAlignment w:val="center"/>
                    <w:rPr>
                      <w:rFonts w:hint="default"/>
                      <w:color w:val="auto"/>
                      <w:kern w:val="0"/>
                      <w:sz w:val="21"/>
                      <w:szCs w:val="21"/>
                      <w:lang w:val="en-US" w:eastAsia="zh-CN"/>
                    </w:rPr>
                  </w:pPr>
                  <w:r>
                    <w:rPr>
                      <w:rFonts w:hint="default"/>
                      <w:color w:val="auto"/>
                      <w:kern w:val="0"/>
                      <w:sz w:val="21"/>
                      <w:szCs w:val="21"/>
                      <w:lang w:val="en-US" w:eastAsia="zh-CN"/>
                    </w:rPr>
                    <w:t xml:space="preserve">0.005 </w:t>
                  </w:r>
                </w:p>
              </w:tc>
              <w:tc>
                <w:tcPr>
                  <w:tcW w:w="456" w:type="pct"/>
                  <w:tcBorders>
                    <w:tl2br w:val="nil"/>
                    <w:tr2bl w:val="nil"/>
                  </w:tcBorders>
                  <w:noWrap w:val="0"/>
                  <w:vAlign w:val="center"/>
                </w:tcPr>
                <w:p w14:paraId="4784210B">
                  <w:pPr>
                    <w:keepNext w:val="0"/>
                    <w:keepLines w:val="0"/>
                    <w:pageBreakBefore w:val="0"/>
                    <w:widowControl/>
                    <w:suppressLineNumbers w:val="0"/>
                    <w:kinsoku/>
                    <w:wordWrap/>
                    <w:overflowPunct/>
                    <w:topLinePunct w:val="0"/>
                    <w:bidi w:val="0"/>
                    <w:spacing w:line="240" w:lineRule="auto"/>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3</w:t>
                  </w:r>
                </w:p>
              </w:tc>
              <w:tc>
                <w:tcPr>
                  <w:tcW w:w="607" w:type="pct"/>
                  <w:tcBorders>
                    <w:tl2br w:val="nil"/>
                    <w:tr2bl w:val="nil"/>
                  </w:tcBorders>
                  <w:noWrap w:val="0"/>
                  <w:vAlign w:val="center"/>
                </w:tcPr>
                <w:p w14:paraId="55EBDF21">
                  <w:pPr>
                    <w:keepNext w:val="0"/>
                    <w:keepLines w:val="0"/>
                    <w:pageBreakBefore w:val="0"/>
                    <w:widowControl/>
                    <w:suppressLineNumbers w:val="0"/>
                    <w:kinsoku/>
                    <w:wordWrap/>
                    <w:overflowPunct/>
                    <w:topLinePunct w:val="0"/>
                    <w:bidi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24.25</w:t>
                  </w:r>
                </w:p>
              </w:tc>
              <w:tc>
                <w:tcPr>
                  <w:tcW w:w="1072" w:type="dxa"/>
                  <w:tcBorders>
                    <w:tl2br w:val="nil"/>
                    <w:tr2bl w:val="nil"/>
                  </w:tcBorders>
                  <w:noWrap w:val="0"/>
                  <w:vAlign w:val="center"/>
                </w:tcPr>
                <w:p w14:paraId="300C1828">
                  <w:pPr>
                    <w:keepNext w:val="0"/>
                    <w:keepLines w:val="0"/>
                    <w:pageBreakBefore w:val="0"/>
                    <w:widowControl/>
                    <w:kinsoku/>
                    <w:wordWrap/>
                    <w:overflowPunct/>
                    <w:topLinePunct w:val="0"/>
                    <w:bidi w:val="0"/>
                    <w:spacing w:line="240" w:lineRule="auto"/>
                    <w:ind w:firstLine="0" w:firstLineChars="0"/>
                    <w:jc w:val="center"/>
                    <w:textAlignment w:val="center"/>
                    <w:rPr>
                      <w:rFonts w:hint="default"/>
                      <w:color w:val="auto"/>
                      <w:kern w:val="0"/>
                      <w:sz w:val="21"/>
                      <w:szCs w:val="21"/>
                      <w:lang w:val="en-US" w:eastAsia="zh-CN"/>
                    </w:rPr>
                  </w:pPr>
                  <w:r>
                    <w:rPr>
                      <w:rFonts w:hint="default"/>
                      <w:color w:val="auto"/>
                      <w:kern w:val="0"/>
                      <w:sz w:val="21"/>
                      <w:szCs w:val="21"/>
                      <w:lang w:val="en-US" w:eastAsia="zh-CN"/>
                    </w:rPr>
                    <w:t xml:space="preserve">0.005 </w:t>
                  </w:r>
                </w:p>
              </w:tc>
              <w:tc>
                <w:tcPr>
                  <w:tcW w:w="667" w:type="pct"/>
                  <w:tcBorders>
                    <w:tl2br w:val="nil"/>
                    <w:tr2bl w:val="nil"/>
                  </w:tcBorders>
                  <w:noWrap w:val="0"/>
                  <w:vAlign w:val="center"/>
                </w:tcPr>
                <w:p w14:paraId="6BA170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lang w:val="en-US" w:eastAsia="zh-CN" w:bidi="ar-SA"/>
                    </w:rPr>
                    <w:t>2</w:t>
                  </w:r>
                  <w:r>
                    <w:rPr>
                      <w:rFonts w:hint="eastAsia" w:ascii="Times New Roman" w:hAnsi="Times New Roman" w:cs="Times New Roman"/>
                      <w:b w:val="0"/>
                      <w:bCs w:val="0"/>
                      <w:color w:val="auto"/>
                      <w:kern w:val="2"/>
                      <w:sz w:val="21"/>
                      <w:szCs w:val="21"/>
                      <w:highlight w:val="none"/>
                      <w:lang w:val="en-US" w:eastAsia="zh-CN" w:bidi="ar-SA"/>
                    </w:rPr>
                    <w:t>5</w:t>
                  </w:r>
                </w:p>
              </w:tc>
            </w:tr>
            <w:tr w14:paraId="1EE77B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84" w:type="pct"/>
                  <w:vMerge w:val="continue"/>
                  <w:tcBorders>
                    <w:tl2br w:val="nil"/>
                    <w:tr2bl w:val="nil"/>
                  </w:tcBorders>
                  <w:noWrap w:val="0"/>
                  <w:vAlign w:val="center"/>
                </w:tcPr>
                <w:p w14:paraId="68415D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543" w:type="pct"/>
                  <w:vMerge w:val="continue"/>
                  <w:tcBorders>
                    <w:tl2br w:val="nil"/>
                    <w:tr2bl w:val="nil"/>
                  </w:tcBorders>
                  <w:noWrap w:val="0"/>
                  <w:vAlign w:val="center"/>
                </w:tcPr>
                <w:p w14:paraId="747C12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588" w:type="pct"/>
                  <w:tcBorders>
                    <w:tl2br w:val="nil"/>
                    <w:tr2bl w:val="nil"/>
                  </w:tcBorders>
                  <w:noWrap w:val="0"/>
                  <w:vAlign w:val="center"/>
                </w:tcPr>
                <w:p w14:paraId="1B708E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总氮</w:t>
                  </w:r>
                </w:p>
              </w:tc>
              <w:tc>
                <w:tcPr>
                  <w:tcW w:w="660" w:type="pct"/>
                  <w:tcBorders>
                    <w:tl2br w:val="nil"/>
                    <w:tr2bl w:val="nil"/>
                  </w:tcBorders>
                  <w:noWrap w:val="0"/>
                  <w:vAlign w:val="center"/>
                </w:tcPr>
                <w:p w14:paraId="6CCADDC4">
                  <w:pPr>
                    <w:keepNext w:val="0"/>
                    <w:keepLines w:val="0"/>
                    <w:pageBreakBefore w:val="0"/>
                    <w:widowControl/>
                    <w:kinsoku/>
                    <w:wordWrap/>
                    <w:overflowPunct/>
                    <w:topLinePunct w:val="0"/>
                    <w:bidi w:val="0"/>
                    <w:spacing w:line="240" w:lineRule="auto"/>
                    <w:ind w:firstLine="0" w:firstLineChars="0"/>
                    <w:jc w:val="center"/>
                    <w:textAlignment w:val="center"/>
                    <w:rPr>
                      <w:rFonts w:hint="default" w:ascii="Times New Roman" w:hAnsi="Times New Roman" w:cs="Times New Roman"/>
                      <w:i w:val="0"/>
                      <w:iCs w:val="0"/>
                      <w:color w:val="auto"/>
                      <w:kern w:val="0"/>
                      <w:sz w:val="21"/>
                      <w:szCs w:val="21"/>
                      <w:highlight w:val="none"/>
                      <w:u w:val="none"/>
                      <w:lang w:val="en-US" w:eastAsia="zh-CN" w:bidi="ar"/>
                    </w:rPr>
                  </w:pPr>
                  <w:r>
                    <w:rPr>
                      <w:rFonts w:hint="eastAsia"/>
                      <w:color w:val="auto"/>
                      <w:kern w:val="0"/>
                      <w:sz w:val="21"/>
                      <w:szCs w:val="21"/>
                      <w:lang w:val="en-US" w:eastAsia="zh-CN"/>
                    </w:rPr>
                    <w:t>40</w:t>
                  </w:r>
                </w:p>
              </w:tc>
              <w:tc>
                <w:tcPr>
                  <w:tcW w:w="1097" w:type="dxa"/>
                  <w:tcBorders>
                    <w:tl2br w:val="nil"/>
                    <w:tr2bl w:val="nil"/>
                  </w:tcBorders>
                  <w:noWrap w:val="0"/>
                  <w:vAlign w:val="center"/>
                </w:tcPr>
                <w:p w14:paraId="545F4204">
                  <w:pPr>
                    <w:keepNext w:val="0"/>
                    <w:keepLines w:val="0"/>
                    <w:pageBreakBefore w:val="0"/>
                    <w:widowControl/>
                    <w:kinsoku/>
                    <w:wordWrap/>
                    <w:overflowPunct/>
                    <w:topLinePunct w:val="0"/>
                    <w:bidi w:val="0"/>
                    <w:spacing w:line="240" w:lineRule="auto"/>
                    <w:ind w:firstLine="0" w:firstLineChars="0"/>
                    <w:jc w:val="center"/>
                    <w:textAlignment w:val="center"/>
                    <w:rPr>
                      <w:rFonts w:hint="default"/>
                      <w:color w:val="auto"/>
                      <w:kern w:val="0"/>
                      <w:sz w:val="21"/>
                      <w:szCs w:val="21"/>
                      <w:lang w:val="en-US" w:eastAsia="zh-CN"/>
                    </w:rPr>
                  </w:pPr>
                  <w:r>
                    <w:rPr>
                      <w:rFonts w:hint="default"/>
                      <w:color w:val="auto"/>
                      <w:kern w:val="0"/>
                      <w:sz w:val="21"/>
                      <w:szCs w:val="21"/>
                      <w:lang w:val="en-US" w:eastAsia="zh-CN"/>
                    </w:rPr>
                    <w:t xml:space="preserve">0.009 </w:t>
                  </w:r>
                </w:p>
              </w:tc>
              <w:tc>
                <w:tcPr>
                  <w:tcW w:w="456" w:type="pct"/>
                  <w:tcBorders>
                    <w:tl2br w:val="nil"/>
                    <w:tr2bl w:val="nil"/>
                  </w:tcBorders>
                  <w:noWrap w:val="0"/>
                  <w:vAlign w:val="center"/>
                </w:tcPr>
                <w:p w14:paraId="46A67884">
                  <w:pPr>
                    <w:keepNext w:val="0"/>
                    <w:keepLines w:val="0"/>
                    <w:pageBreakBefore w:val="0"/>
                    <w:widowControl/>
                    <w:suppressLineNumbers w:val="0"/>
                    <w:kinsoku/>
                    <w:wordWrap/>
                    <w:overflowPunct/>
                    <w:topLinePunct w:val="0"/>
                    <w:bidi w:val="0"/>
                    <w:spacing w:line="240" w:lineRule="auto"/>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3</w:t>
                  </w:r>
                </w:p>
              </w:tc>
              <w:tc>
                <w:tcPr>
                  <w:tcW w:w="607" w:type="pct"/>
                  <w:tcBorders>
                    <w:tl2br w:val="nil"/>
                    <w:tr2bl w:val="nil"/>
                  </w:tcBorders>
                  <w:noWrap w:val="0"/>
                  <w:vAlign w:val="center"/>
                </w:tcPr>
                <w:p w14:paraId="28FC54BE">
                  <w:pPr>
                    <w:keepNext w:val="0"/>
                    <w:keepLines w:val="0"/>
                    <w:pageBreakBefore w:val="0"/>
                    <w:widowControl/>
                    <w:suppressLineNumbers w:val="0"/>
                    <w:kinsoku/>
                    <w:wordWrap/>
                    <w:overflowPunct/>
                    <w:topLinePunct w:val="0"/>
                    <w:bidi w:val="0"/>
                    <w:spacing w:line="240" w:lineRule="auto"/>
                    <w:ind w:firstLine="0" w:firstLineChars="0"/>
                    <w:jc w:val="center"/>
                    <w:textAlignment w:val="center"/>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38.8</w:t>
                  </w:r>
                </w:p>
              </w:tc>
              <w:tc>
                <w:tcPr>
                  <w:tcW w:w="1072" w:type="dxa"/>
                  <w:tcBorders>
                    <w:tl2br w:val="nil"/>
                    <w:tr2bl w:val="nil"/>
                  </w:tcBorders>
                  <w:noWrap w:val="0"/>
                  <w:vAlign w:val="center"/>
                </w:tcPr>
                <w:p w14:paraId="0F67AEDC">
                  <w:pPr>
                    <w:keepNext w:val="0"/>
                    <w:keepLines w:val="0"/>
                    <w:pageBreakBefore w:val="0"/>
                    <w:widowControl/>
                    <w:kinsoku/>
                    <w:wordWrap/>
                    <w:overflowPunct/>
                    <w:topLinePunct w:val="0"/>
                    <w:bidi w:val="0"/>
                    <w:spacing w:line="240" w:lineRule="auto"/>
                    <w:ind w:firstLine="0" w:firstLineChars="0"/>
                    <w:jc w:val="center"/>
                    <w:textAlignment w:val="center"/>
                    <w:rPr>
                      <w:rFonts w:hint="default"/>
                      <w:color w:val="auto"/>
                      <w:kern w:val="0"/>
                      <w:sz w:val="21"/>
                      <w:szCs w:val="21"/>
                      <w:lang w:val="en-US" w:eastAsia="zh-CN"/>
                    </w:rPr>
                  </w:pPr>
                  <w:r>
                    <w:rPr>
                      <w:rFonts w:hint="default"/>
                      <w:color w:val="auto"/>
                      <w:kern w:val="0"/>
                      <w:sz w:val="21"/>
                      <w:szCs w:val="21"/>
                      <w:lang w:val="en-US" w:eastAsia="zh-CN"/>
                    </w:rPr>
                    <w:t xml:space="preserve">0.008 </w:t>
                  </w:r>
                </w:p>
              </w:tc>
              <w:tc>
                <w:tcPr>
                  <w:tcW w:w="667" w:type="pct"/>
                  <w:tcBorders>
                    <w:tl2br w:val="nil"/>
                    <w:tr2bl w:val="nil"/>
                  </w:tcBorders>
                  <w:noWrap w:val="0"/>
                  <w:vAlign w:val="center"/>
                </w:tcPr>
                <w:p w14:paraId="5FB60C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45</w:t>
                  </w:r>
                </w:p>
              </w:tc>
            </w:tr>
            <w:tr w14:paraId="060718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84" w:type="pct"/>
                  <w:vMerge w:val="continue"/>
                  <w:tcBorders>
                    <w:tl2br w:val="nil"/>
                    <w:tr2bl w:val="nil"/>
                  </w:tcBorders>
                  <w:noWrap w:val="0"/>
                  <w:vAlign w:val="center"/>
                </w:tcPr>
                <w:p w14:paraId="58DF80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543" w:type="pct"/>
                  <w:vMerge w:val="continue"/>
                  <w:tcBorders>
                    <w:tl2br w:val="nil"/>
                    <w:tr2bl w:val="nil"/>
                  </w:tcBorders>
                  <w:noWrap w:val="0"/>
                  <w:vAlign w:val="center"/>
                </w:tcPr>
                <w:p w14:paraId="041338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588" w:type="pct"/>
                  <w:tcBorders>
                    <w:tl2br w:val="nil"/>
                    <w:tr2bl w:val="nil"/>
                  </w:tcBorders>
                  <w:noWrap w:val="0"/>
                  <w:vAlign w:val="center"/>
                </w:tcPr>
                <w:p w14:paraId="29C677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总磷</w:t>
                  </w:r>
                </w:p>
              </w:tc>
              <w:tc>
                <w:tcPr>
                  <w:tcW w:w="660" w:type="pct"/>
                  <w:tcBorders>
                    <w:tl2br w:val="nil"/>
                    <w:tr2bl w:val="nil"/>
                  </w:tcBorders>
                  <w:noWrap w:val="0"/>
                  <w:vAlign w:val="center"/>
                </w:tcPr>
                <w:p w14:paraId="5968F9C3">
                  <w:pPr>
                    <w:keepNext w:val="0"/>
                    <w:keepLines w:val="0"/>
                    <w:pageBreakBefore w:val="0"/>
                    <w:widowControl/>
                    <w:kinsoku/>
                    <w:wordWrap/>
                    <w:overflowPunct/>
                    <w:topLinePunct w:val="0"/>
                    <w:bidi w:val="0"/>
                    <w:spacing w:line="240" w:lineRule="auto"/>
                    <w:ind w:firstLine="0" w:firstLineChars="0"/>
                    <w:jc w:val="center"/>
                    <w:textAlignment w:val="center"/>
                    <w:rPr>
                      <w:rFonts w:hint="default" w:ascii="Times New Roman" w:hAnsi="Times New Roman" w:cs="Times New Roman"/>
                      <w:i w:val="0"/>
                      <w:iCs w:val="0"/>
                      <w:color w:val="FF0000"/>
                      <w:kern w:val="0"/>
                      <w:sz w:val="21"/>
                      <w:szCs w:val="21"/>
                      <w:highlight w:val="none"/>
                      <w:u w:val="none"/>
                      <w:lang w:val="en-US" w:eastAsia="zh-CN" w:bidi="ar"/>
                    </w:rPr>
                  </w:pPr>
                  <w:r>
                    <w:rPr>
                      <w:rFonts w:hint="eastAsia"/>
                      <w:color w:val="FF0000"/>
                      <w:kern w:val="0"/>
                      <w:sz w:val="21"/>
                      <w:szCs w:val="21"/>
                      <w:lang w:val="en-US" w:eastAsia="zh-CN"/>
                    </w:rPr>
                    <w:t>5</w:t>
                  </w:r>
                </w:p>
              </w:tc>
              <w:tc>
                <w:tcPr>
                  <w:tcW w:w="1097" w:type="dxa"/>
                  <w:tcBorders>
                    <w:tl2br w:val="nil"/>
                    <w:tr2bl w:val="nil"/>
                  </w:tcBorders>
                  <w:noWrap w:val="0"/>
                  <w:vAlign w:val="center"/>
                </w:tcPr>
                <w:p w14:paraId="56F8C305">
                  <w:pPr>
                    <w:keepNext w:val="0"/>
                    <w:keepLines w:val="0"/>
                    <w:pageBreakBefore w:val="0"/>
                    <w:widowControl/>
                    <w:kinsoku/>
                    <w:wordWrap/>
                    <w:overflowPunct/>
                    <w:topLinePunct w:val="0"/>
                    <w:bidi w:val="0"/>
                    <w:spacing w:line="240" w:lineRule="auto"/>
                    <w:ind w:firstLine="0" w:firstLineChars="0"/>
                    <w:jc w:val="center"/>
                    <w:textAlignment w:val="center"/>
                    <w:rPr>
                      <w:rFonts w:hint="default"/>
                      <w:color w:val="FF0000"/>
                      <w:kern w:val="0"/>
                      <w:sz w:val="21"/>
                      <w:szCs w:val="21"/>
                      <w:lang w:val="en-US" w:eastAsia="zh-CN"/>
                    </w:rPr>
                  </w:pPr>
                  <w:r>
                    <w:rPr>
                      <w:rFonts w:hint="default"/>
                      <w:color w:val="FF0000"/>
                      <w:kern w:val="0"/>
                      <w:sz w:val="21"/>
                      <w:szCs w:val="21"/>
                      <w:lang w:val="en-US" w:eastAsia="zh-CN"/>
                    </w:rPr>
                    <w:t>0.00</w:t>
                  </w:r>
                  <w:r>
                    <w:rPr>
                      <w:rFonts w:hint="eastAsia"/>
                      <w:color w:val="FF0000"/>
                      <w:kern w:val="0"/>
                      <w:sz w:val="21"/>
                      <w:szCs w:val="21"/>
                      <w:lang w:val="en-US" w:eastAsia="zh-CN"/>
                    </w:rPr>
                    <w:t>1</w:t>
                  </w:r>
                  <w:r>
                    <w:rPr>
                      <w:rFonts w:hint="default"/>
                      <w:color w:val="FF0000"/>
                      <w:kern w:val="0"/>
                      <w:sz w:val="21"/>
                      <w:szCs w:val="21"/>
                      <w:lang w:val="en-US" w:eastAsia="zh-CN"/>
                    </w:rPr>
                    <w:t xml:space="preserve"> </w:t>
                  </w:r>
                </w:p>
              </w:tc>
              <w:tc>
                <w:tcPr>
                  <w:tcW w:w="456" w:type="pct"/>
                  <w:tcBorders>
                    <w:tl2br w:val="nil"/>
                    <w:tr2bl w:val="nil"/>
                  </w:tcBorders>
                  <w:noWrap w:val="0"/>
                  <w:vAlign w:val="center"/>
                </w:tcPr>
                <w:p w14:paraId="0891797B">
                  <w:pPr>
                    <w:keepNext w:val="0"/>
                    <w:keepLines w:val="0"/>
                    <w:pageBreakBefore w:val="0"/>
                    <w:widowControl/>
                    <w:suppressLineNumbers w:val="0"/>
                    <w:kinsoku/>
                    <w:wordWrap/>
                    <w:overflowPunct/>
                    <w:topLinePunct w:val="0"/>
                    <w:bidi w:val="0"/>
                    <w:spacing w:line="240" w:lineRule="auto"/>
                    <w:ind w:firstLine="0" w:firstLineChars="0"/>
                    <w:jc w:val="center"/>
                    <w:textAlignment w:val="center"/>
                    <w:rPr>
                      <w:rFonts w:hint="eastAsia" w:cs="Times New Roman"/>
                      <w:color w:val="FF0000"/>
                      <w:kern w:val="2"/>
                      <w:sz w:val="21"/>
                      <w:szCs w:val="21"/>
                      <w:lang w:val="en-US" w:eastAsia="zh-CN" w:bidi="ar-SA"/>
                    </w:rPr>
                  </w:pPr>
                  <w:r>
                    <w:rPr>
                      <w:rFonts w:hint="eastAsia" w:cs="Times New Roman"/>
                      <w:color w:val="FF0000"/>
                      <w:kern w:val="2"/>
                      <w:sz w:val="21"/>
                      <w:szCs w:val="21"/>
                      <w:lang w:val="en-US" w:eastAsia="zh-CN" w:bidi="ar-SA"/>
                    </w:rPr>
                    <w:t>4</w:t>
                  </w:r>
                </w:p>
              </w:tc>
              <w:tc>
                <w:tcPr>
                  <w:tcW w:w="607" w:type="pct"/>
                  <w:tcBorders>
                    <w:tl2br w:val="nil"/>
                    <w:tr2bl w:val="nil"/>
                  </w:tcBorders>
                  <w:noWrap w:val="0"/>
                  <w:vAlign w:val="center"/>
                </w:tcPr>
                <w:p w14:paraId="3054A7AF">
                  <w:pPr>
                    <w:keepNext w:val="0"/>
                    <w:keepLines w:val="0"/>
                    <w:pageBreakBefore w:val="0"/>
                    <w:widowControl/>
                    <w:suppressLineNumbers w:val="0"/>
                    <w:kinsoku/>
                    <w:wordWrap/>
                    <w:overflowPunct/>
                    <w:topLinePunct w:val="0"/>
                    <w:bidi w:val="0"/>
                    <w:spacing w:line="240" w:lineRule="auto"/>
                    <w:ind w:firstLine="0" w:firstLineChars="0"/>
                    <w:jc w:val="center"/>
                    <w:textAlignment w:val="center"/>
                    <w:rPr>
                      <w:rFonts w:hint="default" w:ascii="Times New Roman" w:hAnsi="Times New Roman" w:cs="Times New Roman"/>
                      <w:color w:val="FF0000"/>
                      <w:sz w:val="21"/>
                      <w:szCs w:val="21"/>
                      <w:highlight w:val="none"/>
                      <w:vertAlign w:val="baseline"/>
                      <w:lang w:val="en-US" w:eastAsia="zh-CN"/>
                    </w:rPr>
                  </w:pPr>
                  <w:r>
                    <w:rPr>
                      <w:rFonts w:hint="eastAsia" w:cs="Times New Roman"/>
                      <w:color w:val="FF0000"/>
                      <w:sz w:val="21"/>
                      <w:szCs w:val="21"/>
                      <w:highlight w:val="none"/>
                      <w:vertAlign w:val="baseline"/>
                      <w:lang w:val="en-US" w:eastAsia="zh-CN"/>
                    </w:rPr>
                    <w:t>4.8</w:t>
                  </w:r>
                </w:p>
              </w:tc>
              <w:tc>
                <w:tcPr>
                  <w:tcW w:w="1072" w:type="dxa"/>
                  <w:tcBorders>
                    <w:tl2br w:val="nil"/>
                    <w:tr2bl w:val="nil"/>
                  </w:tcBorders>
                  <w:noWrap w:val="0"/>
                  <w:vAlign w:val="center"/>
                </w:tcPr>
                <w:p w14:paraId="11A81153">
                  <w:pPr>
                    <w:keepNext w:val="0"/>
                    <w:keepLines w:val="0"/>
                    <w:pageBreakBefore w:val="0"/>
                    <w:widowControl/>
                    <w:kinsoku/>
                    <w:wordWrap/>
                    <w:overflowPunct/>
                    <w:topLinePunct w:val="0"/>
                    <w:bidi w:val="0"/>
                    <w:spacing w:line="240" w:lineRule="auto"/>
                    <w:ind w:firstLine="0" w:firstLineChars="0"/>
                    <w:jc w:val="center"/>
                    <w:textAlignment w:val="center"/>
                    <w:rPr>
                      <w:rFonts w:hint="default"/>
                      <w:color w:val="FF0000"/>
                      <w:kern w:val="0"/>
                      <w:sz w:val="21"/>
                      <w:szCs w:val="21"/>
                      <w:lang w:val="en-US" w:eastAsia="zh-CN"/>
                    </w:rPr>
                  </w:pPr>
                  <w:r>
                    <w:rPr>
                      <w:rFonts w:hint="default"/>
                      <w:color w:val="FF0000"/>
                      <w:kern w:val="0"/>
                      <w:sz w:val="21"/>
                      <w:szCs w:val="21"/>
                      <w:lang w:val="en-US" w:eastAsia="zh-CN"/>
                    </w:rPr>
                    <w:t>0.00</w:t>
                  </w:r>
                  <w:r>
                    <w:rPr>
                      <w:rFonts w:hint="eastAsia"/>
                      <w:color w:val="FF0000"/>
                      <w:kern w:val="0"/>
                      <w:sz w:val="21"/>
                      <w:szCs w:val="21"/>
                      <w:lang w:val="en-US" w:eastAsia="zh-CN"/>
                    </w:rPr>
                    <w:t>1</w:t>
                  </w:r>
                </w:p>
              </w:tc>
              <w:tc>
                <w:tcPr>
                  <w:tcW w:w="667" w:type="pct"/>
                  <w:tcBorders>
                    <w:tl2br w:val="nil"/>
                    <w:tr2bl w:val="nil"/>
                  </w:tcBorders>
                  <w:noWrap w:val="0"/>
                  <w:vAlign w:val="center"/>
                </w:tcPr>
                <w:p w14:paraId="64B983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FF0000"/>
                      <w:kern w:val="2"/>
                      <w:sz w:val="21"/>
                      <w:szCs w:val="21"/>
                      <w:highlight w:val="none"/>
                      <w:lang w:val="en-US" w:eastAsia="zh-CN" w:bidi="ar-SA"/>
                    </w:rPr>
                  </w:pPr>
                  <w:r>
                    <w:rPr>
                      <w:rFonts w:hint="eastAsia" w:cs="Times New Roman"/>
                      <w:b w:val="0"/>
                      <w:bCs w:val="0"/>
                      <w:color w:val="FF0000"/>
                      <w:kern w:val="2"/>
                      <w:sz w:val="21"/>
                      <w:szCs w:val="21"/>
                      <w:highlight w:val="none"/>
                      <w:lang w:val="en-US" w:eastAsia="zh-CN" w:bidi="ar-SA"/>
                    </w:rPr>
                    <w:t>5</w:t>
                  </w:r>
                </w:p>
              </w:tc>
            </w:tr>
          </w:tbl>
          <w:p w14:paraId="76231647">
            <w:pPr>
              <w:pStyle w:val="66"/>
              <w:pageBreakBefore w:val="0"/>
              <w:widowControl w:val="0"/>
              <w:kinsoku/>
              <w:wordWrap/>
              <w:overflowPunct/>
              <w:topLinePunct w:val="0"/>
              <w:autoSpaceDE/>
              <w:autoSpaceDN/>
              <w:bidi w:val="0"/>
              <w:adjustRightInd/>
              <w:snapToGrid/>
              <w:spacing w:line="360" w:lineRule="auto"/>
              <w:textAlignment w:val="auto"/>
              <w:rPr>
                <w:rFonts w:hint="eastAsia" w:eastAsia="宋体"/>
                <w:color w:val="auto"/>
                <w:sz w:val="24"/>
                <w:lang w:eastAsia="zh-CN"/>
              </w:rPr>
            </w:pPr>
            <w:r>
              <w:rPr>
                <w:rFonts w:hint="eastAsia"/>
                <w:color w:val="auto"/>
                <w:sz w:val="24"/>
                <w:lang w:eastAsia="zh-CN"/>
              </w:rPr>
              <w:t>由上表可知，本项目</w:t>
            </w:r>
            <w:r>
              <w:rPr>
                <w:rFonts w:hint="eastAsia" w:cs="Times New Roman"/>
                <w:color w:val="auto"/>
                <w:sz w:val="24"/>
                <w:szCs w:val="24"/>
                <w:highlight w:val="none"/>
                <w:lang w:val="en-US" w:eastAsia="zh-CN"/>
              </w:rPr>
              <w:t>生活污水</w:t>
            </w:r>
            <w:r>
              <w:rPr>
                <w:rFonts w:hint="eastAsia" w:cs="Times New Roman"/>
                <w:color w:val="auto"/>
                <w:sz w:val="24"/>
                <w:szCs w:val="24"/>
                <w:lang w:val="en-US" w:eastAsia="zh-CN"/>
              </w:rPr>
              <w:t>排入化粪池处理后，</w:t>
            </w:r>
            <w:r>
              <w:rPr>
                <w:rFonts w:hint="eastAsia"/>
                <w:color w:val="auto"/>
                <w:sz w:val="24"/>
              </w:rPr>
              <w:t>废水</w:t>
            </w:r>
            <w:r>
              <w:rPr>
                <w:rFonts w:hint="eastAsia"/>
                <w:color w:val="auto"/>
                <w:sz w:val="24"/>
                <w:lang w:eastAsia="zh-CN"/>
              </w:rPr>
              <w:t>污染物</w:t>
            </w:r>
            <w:r>
              <w:rPr>
                <w:rFonts w:hint="eastAsia"/>
                <w:color w:val="auto"/>
                <w:sz w:val="24"/>
              </w:rPr>
              <w:t>pH、COD、BOD</w:t>
            </w:r>
            <w:r>
              <w:rPr>
                <w:rFonts w:hint="eastAsia"/>
                <w:color w:val="auto"/>
                <w:sz w:val="24"/>
                <w:vertAlign w:val="subscript"/>
              </w:rPr>
              <w:t>5</w:t>
            </w:r>
            <w:r>
              <w:rPr>
                <w:rFonts w:hint="eastAsia"/>
                <w:color w:val="auto"/>
                <w:sz w:val="24"/>
              </w:rPr>
              <w:t>、悬浮物可满足《污水综合排放标准》（GB 8978-1996）表4中三级标准限值，氨氮、</w:t>
            </w:r>
            <w:r>
              <w:rPr>
                <w:rFonts w:hint="eastAsia"/>
                <w:color w:val="auto"/>
                <w:sz w:val="24"/>
                <w:lang w:eastAsia="zh-CN"/>
              </w:rPr>
              <w:t>总氮、</w:t>
            </w:r>
            <w:r>
              <w:rPr>
                <w:rFonts w:hint="eastAsia"/>
                <w:color w:val="auto"/>
                <w:sz w:val="24"/>
              </w:rPr>
              <w:t>总磷可满足《污水排入城镇下水道水质标准》（GB/T</w:t>
            </w:r>
            <w:r>
              <w:rPr>
                <w:rFonts w:hint="eastAsia"/>
                <w:color w:val="auto"/>
                <w:sz w:val="24"/>
                <w:lang w:val="en-US" w:eastAsia="zh-CN"/>
              </w:rPr>
              <w:t xml:space="preserve"> </w:t>
            </w:r>
            <w:r>
              <w:rPr>
                <w:rFonts w:hint="eastAsia"/>
                <w:color w:val="auto"/>
                <w:sz w:val="24"/>
              </w:rPr>
              <w:t>31962-2015）表1中</w:t>
            </w:r>
            <w:r>
              <w:rPr>
                <w:rFonts w:hint="eastAsia"/>
                <w:color w:val="auto"/>
                <w:sz w:val="24"/>
                <w:lang w:val="en-US" w:eastAsia="zh-CN"/>
              </w:rPr>
              <w:t>B</w:t>
            </w:r>
            <w:r>
              <w:rPr>
                <w:rFonts w:hint="eastAsia"/>
                <w:color w:val="auto"/>
                <w:sz w:val="24"/>
              </w:rPr>
              <w:t>级标准限值要求，</w:t>
            </w:r>
            <w:r>
              <w:rPr>
                <w:rFonts w:hint="eastAsia" w:ascii="Times New Roman" w:hAnsi="Times New Roman" w:eastAsia="宋体" w:cs="Times New Roman"/>
                <w:color w:val="auto"/>
                <w:sz w:val="24"/>
                <w:szCs w:val="24"/>
                <w:lang w:val="en-US" w:eastAsia="zh-CN"/>
              </w:rPr>
              <w:t>通过</w:t>
            </w:r>
            <w:r>
              <w:rPr>
                <w:rFonts w:hint="eastAsia"/>
                <w:color w:val="auto"/>
                <w:sz w:val="24"/>
              </w:rPr>
              <w:t>污水管网最终排至</w:t>
            </w:r>
            <w:r>
              <w:rPr>
                <w:rFonts w:hint="eastAsia"/>
                <w:color w:val="auto"/>
                <w:sz w:val="24"/>
                <w:lang w:eastAsia="zh-CN"/>
              </w:rPr>
              <w:t>佛坪县污水处理厂</w:t>
            </w:r>
            <w:r>
              <w:rPr>
                <w:rFonts w:hint="eastAsia" w:ascii="Times New Roman" w:hAnsi="Times New Roman" w:eastAsia="宋体" w:cs="Times New Roman"/>
                <w:color w:val="auto"/>
                <w:sz w:val="24"/>
                <w:szCs w:val="24"/>
                <w:lang w:val="en-US" w:eastAsia="zh-CN"/>
              </w:rPr>
              <w:t>处理</w:t>
            </w:r>
            <w:r>
              <w:rPr>
                <w:rFonts w:hint="eastAsia"/>
                <w:color w:val="auto"/>
                <w:sz w:val="24"/>
              </w:rPr>
              <w:t>，不会对附近地表水体造成影响</w:t>
            </w:r>
            <w:r>
              <w:rPr>
                <w:rFonts w:hint="eastAsia"/>
                <w:color w:val="auto"/>
                <w:sz w:val="24"/>
                <w:lang w:eastAsia="zh-CN"/>
              </w:rPr>
              <w:t>。</w:t>
            </w:r>
          </w:p>
          <w:p w14:paraId="29EDF756">
            <w:pPr>
              <w:spacing w:line="360" w:lineRule="auto"/>
              <w:ind w:firstLine="482" w:firstLineChars="200"/>
              <w:rPr>
                <w:b/>
                <w:color w:val="auto"/>
                <w:sz w:val="24"/>
                <w:szCs w:val="27"/>
              </w:rPr>
            </w:pPr>
            <w:r>
              <w:rPr>
                <w:rFonts w:hint="eastAsia"/>
                <w:b/>
                <w:color w:val="auto"/>
                <w:sz w:val="24"/>
                <w:szCs w:val="27"/>
              </w:rPr>
              <w:t>4.</w:t>
            </w:r>
            <w:r>
              <w:rPr>
                <w:rFonts w:hint="eastAsia"/>
                <w:b/>
                <w:color w:val="auto"/>
                <w:sz w:val="24"/>
                <w:szCs w:val="27"/>
                <w:lang w:val="en-US" w:eastAsia="zh-CN"/>
              </w:rPr>
              <w:t>3</w:t>
            </w:r>
            <w:r>
              <w:rPr>
                <w:rFonts w:hint="eastAsia"/>
                <w:b/>
                <w:color w:val="auto"/>
                <w:sz w:val="24"/>
                <w:szCs w:val="27"/>
              </w:rPr>
              <w:t>.2废水排放口信息</w:t>
            </w:r>
          </w:p>
          <w:p w14:paraId="6E762FF8">
            <w:pPr>
              <w:widowControl/>
              <w:adjustRightInd w:val="0"/>
              <w:snapToGrid w:val="0"/>
              <w:spacing w:line="360" w:lineRule="auto"/>
              <w:ind w:firstLine="480" w:firstLineChars="200"/>
              <w:rPr>
                <w:bCs/>
                <w:color w:val="auto"/>
                <w:sz w:val="24"/>
                <w:szCs w:val="27"/>
              </w:rPr>
            </w:pPr>
            <w:r>
              <w:rPr>
                <w:rFonts w:hint="eastAsia"/>
                <w:bCs/>
                <w:color w:val="auto"/>
                <w:sz w:val="24"/>
                <w:szCs w:val="27"/>
                <w:lang w:eastAsia="zh-CN"/>
              </w:rPr>
              <w:t>根据建设单位提供资料及现场调查，本项目生活废水</w:t>
            </w:r>
            <w:r>
              <w:rPr>
                <w:rFonts w:hint="eastAsia"/>
                <w:bCs/>
                <w:color w:val="auto"/>
                <w:sz w:val="24"/>
                <w:szCs w:val="27"/>
              </w:rPr>
              <w:t>类别、污染物及污染治理设施</w:t>
            </w:r>
            <w:r>
              <w:rPr>
                <w:rFonts w:hint="eastAsia"/>
                <w:bCs/>
                <w:color w:val="auto"/>
                <w:sz w:val="24"/>
                <w:szCs w:val="27"/>
                <w:lang w:eastAsia="zh-CN"/>
              </w:rPr>
              <w:t>、废水排放口情况等详</w:t>
            </w:r>
            <w:r>
              <w:rPr>
                <w:rFonts w:hint="eastAsia"/>
                <w:bCs/>
                <w:color w:val="auto"/>
                <w:sz w:val="24"/>
                <w:szCs w:val="27"/>
              </w:rPr>
              <w:t>见</w:t>
            </w:r>
            <w:r>
              <w:rPr>
                <w:rFonts w:hint="eastAsia"/>
                <w:bCs/>
                <w:color w:val="auto"/>
                <w:sz w:val="24"/>
                <w:szCs w:val="27"/>
                <w:lang w:eastAsia="zh-CN"/>
              </w:rPr>
              <w:t>下表：</w:t>
            </w:r>
          </w:p>
          <w:p w14:paraId="67708A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auto"/>
                <w:sz w:val="21"/>
                <w:szCs w:val="21"/>
              </w:rPr>
            </w:pPr>
            <w:r>
              <w:rPr>
                <w:rFonts w:hint="eastAsia"/>
                <w:b/>
                <w:bCs/>
                <w:color w:val="auto"/>
                <w:sz w:val="21"/>
                <w:szCs w:val="21"/>
              </w:rPr>
              <w:t>表4-</w:t>
            </w:r>
            <w:r>
              <w:rPr>
                <w:rFonts w:hint="eastAsia"/>
                <w:b/>
                <w:bCs/>
                <w:color w:val="auto"/>
                <w:sz w:val="21"/>
                <w:szCs w:val="21"/>
                <w:lang w:val="en-US" w:eastAsia="zh-CN"/>
              </w:rPr>
              <w:t xml:space="preserve">5 </w:t>
            </w:r>
            <w:r>
              <w:rPr>
                <w:rFonts w:hint="eastAsia"/>
                <w:b/>
                <w:bCs/>
                <w:color w:val="auto"/>
                <w:sz w:val="21"/>
                <w:szCs w:val="21"/>
                <w:lang w:eastAsia="zh-CN"/>
              </w:rPr>
              <w:t>本项目</w:t>
            </w:r>
            <w:r>
              <w:rPr>
                <w:rFonts w:hint="eastAsia"/>
                <w:b/>
                <w:bCs/>
                <w:color w:val="auto"/>
                <w:sz w:val="21"/>
                <w:szCs w:val="21"/>
              </w:rPr>
              <w:t>废水类别、污染物及污染治理设施信息表</w:t>
            </w:r>
          </w:p>
          <w:tbl>
            <w:tblPr>
              <w:tblStyle w:val="26"/>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3"/>
              <w:gridCol w:w="705"/>
              <w:gridCol w:w="981"/>
              <w:gridCol w:w="1098"/>
              <w:gridCol w:w="864"/>
              <w:gridCol w:w="1084"/>
              <w:gridCol w:w="1106"/>
              <w:gridCol w:w="902"/>
              <w:gridCol w:w="1086"/>
              <w:gridCol w:w="785"/>
            </w:tblGrid>
            <w:tr w14:paraId="158ECE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234" w:type="pct"/>
                  <w:vMerge w:val="restart"/>
                  <w:noWrap w:val="0"/>
                  <w:vAlign w:val="center"/>
                </w:tcPr>
                <w:p w14:paraId="6F6EDA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序号</w:t>
                  </w:r>
                </w:p>
              </w:tc>
              <w:tc>
                <w:tcPr>
                  <w:tcW w:w="390" w:type="pct"/>
                  <w:vMerge w:val="restart"/>
                  <w:noWrap w:val="0"/>
                  <w:vAlign w:val="center"/>
                </w:tcPr>
                <w:p w14:paraId="2E5E2E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废水类别</w:t>
                  </w:r>
                </w:p>
              </w:tc>
              <w:tc>
                <w:tcPr>
                  <w:tcW w:w="543" w:type="pct"/>
                  <w:vMerge w:val="restart"/>
                  <w:noWrap w:val="0"/>
                  <w:vAlign w:val="center"/>
                </w:tcPr>
                <w:p w14:paraId="5720E2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污染物种类</w:t>
                  </w:r>
                </w:p>
              </w:tc>
              <w:tc>
                <w:tcPr>
                  <w:tcW w:w="607" w:type="pct"/>
                  <w:vMerge w:val="restart"/>
                  <w:noWrap w:val="0"/>
                  <w:vAlign w:val="center"/>
                </w:tcPr>
                <w:p w14:paraId="09A57D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排放去向</w:t>
                  </w:r>
                </w:p>
              </w:tc>
              <w:tc>
                <w:tcPr>
                  <w:tcW w:w="478" w:type="pct"/>
                  <w:vMerge w:val="restart"/>
                  <w:noWrap w:val="0"/>
                  <w:vAlign w:val="center"/>
                </w:tcPr>
                <w:p w14:paraId="1EB70D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排放规律</w:t>
                  </w:r>
                </w:p>
              </w:tc>
              <w:tc>
                <w:tcPr>
                  <w:tcW w:w="1212" w:type="pct"/>
                  <w:gridSpan w:val="2"/>
                  <w:noWrap w:val="0"/>
                  <w:vAlign w:val="center"/>
                </w:tcPr>
                <w:p w14:paraId="4492E3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auto"/>
                      <w:sz w:val="21"/>
                      <w:szCs w:val="21"/>
                    </w:rPr>
                  </w:pPr>
                  <w:r>
                    <w:rPr>
                      <w:rFonts w:hint="eastAsia"/>
                      <w:b/>
                      <w:bCs/>
                      <w:color w:val="auto"/>
                      <w:sz w:val="21"/>
                      <w:szCs w:val="21"/>
                    </w:rPr>
                    <w:t>污染治理设施</w:t>
                  </w:r>
                </w:p>
              </w:tc>
              <w:tc>
                <w:tcPr>
                  <w:tcW w:w="499" w:type="pct"/>
                  <w:vMerge w:val="restart"/>
                  <w:noWrap w:val="0"/>
                  <w:vAlign w:val="center"/>
                </w:tcPr>
                <w:p w14:paraId="310669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color w:val="auto"/>
                      <w:sz w:val="21"/>
                      <w:szCs w:val="21"/>
                      <w:lang w:eastAsia="zh-CN"/>
                    </w:rPr>
                  </w:pPr>
                  <w:r>
                    <w:rPr>
                      <w:rFonts w:hint="eastAsia"/>
                      <w:b/>
                      <w:bCs/>
                      <w:color w:val="auto"/>
                      <w:sz w:val="21"/>
                      <w:szCs w:val="21"/>
                      <w:lang w:eastAsia="zh-CN"/>
                    </w:rPr>
                    <w:t>排放口编号</w:t>
                  </w:r>
                </w:p>
              </w:tc>
              <w:tc>
                <w:tcPr>
                  <w:tcW w:w="601" w:type="pct"/>
                  <w:vMerge w:val="restart"/>
                  <w:noWrap w:val="0"/>
                  <w:vAlign w:val="center"/>
                </w:tcPr>
                <w:p w14:paraId="7AD1B2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auto"/>
                      <w:sz w:val="21"/>
                      <w:szCs w:val="21"/>
                    </w:rPr>
                  </w:pPr>
                  <w:r>
                    <w:rPr>
                      <w:rFonts w:hint="eastAsia"/>
                      <w:b/>
                      <w:bCs/>
                      <w:color w:val="auto"/>
                      <w:sz w:val="21"/>
                      <w:szCs w:val="21"/>
                    </w:rPr>
                    <w:t>排放口设置是否符合要求</w:t>
                  </w:r>
                </w:p>
              </w:tc>
              <w:tc>
                <w:tcPr>
                  <w:tcW w:w="434" w:type="pct"/>
                  <w:vMerge w:val="restart"/>
                  <w:noWrap w:val="0"/>
                  <w:vAlign w:val="center"/>
                </w:tcPr>
                <w:p w14:paraId="1C15BE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排放口类型</w:t>
                  </w:r>
                </w:p>
              </w:tc>
            </w:tr>
            <w:tr w14:paraId="409AE4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34" w:type="pct"/>
                  <w:vMerge w:val="continue"/>
                  <w:noWrap w:val="0"/>
                  <w:vAlign w:val="center"/>
                </w:tcPr>
                <w:p w14:paraId="2CFF80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390" w:type="pct"/>
                  <w:vMerge w:val="continue"/>
                  <w:noWrap w:val="0"/>
                  <w:vAlign w:val="center"/>
                </w:tcPr>
                <w:p w14:paraId="5B0BCC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543" w:type="pct"/>
                  <w:vMerge w:val="continue"/>
                  <w:noWrap w:val="0"/>
                  <w:vAlign w:val="center"/>
                </w:tcPr>
                <w:p w14:paraId="279824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607" w:type="pct"/>
                  <w:vMerge w:val="continue"/>
                  <w:noWrap w:val="0"/>
                  <w:vAlign w:val="center"/>
                </w:tcPr>
                <w:p w14:paraId="58F448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478" w:type="pct"/>
                  <w:vMerge w:val="continue"/>
                  <w:noWrap w:val="0"/>
                  <w:vAlign w:val="center"/>
                </w:tcPr>
                <w:p w14:paraId="231F31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600" w:type="pct"/>
                  <w:noWrap w:val="0"/>
                  <w:vAlign w:val="center"/>
                </w:tcPr>
                <w:p w14:paraId="2FAFA1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color w:val="auto"/>
                      <w:sz w:val="21"/>
                      <w:szCs w:val="21"/>
                      <w:lang w:eastAsia="zh-CN"/>
                    </w:rPr>
                  </w:pPr>
                  <w:r>
                    <w:rPr>
                      <w:rFonts w:hint="eastAsia"/>
                      <w:b/>
                      <w:bCs/>
                      <w:color w:val="auto"/>
                      <w:sz w:val="21"/>
                      <w:szCs w:val="21"/>
                      <w:lang w:eastAsia="zh-CN"/>
                    </w:rPr>
                    <w:t>污染治理设施编号</w:t>
                  </w:r>
                </w:p>
              </w:tc>
              <w:tc>
                <w:tcPr>
                  <w:tcW w:w="612" w:type="pct"/>
                  <w:noWrap w:val="0"/>
                  <w:vAlign w:val="center"/>
                </w:tcPr>
                <w:p w14:paraId="324F64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color w:val="auto"/>
                      <w:sz w:val="21"/>
                      <w:szCs w:val="21"/>
                      <w:lang w:eastAsia="zh-CN"/>
                    </w:rPr>
                  </w:pPr>
                  <w:r>
                    <w:rPr>
                      <w:rFonts w:hint="eastAsia"/>
                      <w:b/>
                      <w:bCs/>
                      <w:color w:val="auto"/>
                      <w:sz w:val="21"/>
                      <w:szCs w:val="21"/>
                      <w:lang w:eastAsia="zh-CN"/>
                    </w:rPr>
                    <w:t>污染治理设施名称</w:t>
                  </w:r>
                </w:p>
              </w:tc>
              <w:tc>
                <w:tcPr>
                  <w:tcW w:w="499" w:type="pct"/>
                  <w:vMerge w:val="continue"/>
                  <w:noWrap w:val="0"/>
                  <w:vAlign w:val="center"/>
                </w:tcPr>
                <w:p w14:paraId="5D0057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601" w:type="pct"/>
                  <w:vMerge w:val="continue"/>
                  <w:noWrap w:val="0"/>
                  <w:vAlign w:val="center"/>
                </w:tcPr>
                <w:p w14:paraId="2B8C70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434" w:type="pct"/>
                  <w:vMerge w:val="continue"/>
                  <w:noWrap w:val="0"/>
                  <w:vAlign w:val="center"/>
                </w:tcPr>
                <w:p w14:paraId="2AE9C7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r>
            <w:tr w14:paraId="35A32F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4" w:type="pct"/>
                  <w:vMerge w:val="restart"/>
                  <w:noWrap w:val="0"/>
                  <w:vAlign w:val="center"/>
                </w:tcPr>
                <w:p w14:paraId="52ADEA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color w:val="auto"/>
                      <w:sz w:val="21"/>
                      <w:szCs w:val="21"/>
                    </w:rPr>
                    <w:t>1</w:t>
                  </w:r>
                </w:p>
              </w:tc>
              <w:tc>
                <w:tcPr>
                  <w:tcW w:w="390" w:type="pct"/>
                  <w:vMerge w:val="restart"/>
                  <w:noWrap w:val="0"/>
                  <w:vAlign w:val="center"/>
                </w:tcPr>
                <w:p w14:paraId="378430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生活污水</w:t>
                  </w:r>
                </w:p>
              </w:tc>
              <w:tc>
                <w:tcPr>
                  <w:tcW w:w="984" w:type="dxa"/>
                  <w:noWrap w:val="0"/>
                  <w:vAlign w:val="center"/>
                </w:tcPr>
                <w:p w14:paraId="6FF511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pH</w:t>
                  </w:r>
                </w:p>
              </w:tc>
              <w:tc>
                <w:tcPr>
                  <w:tcW w:w="607" w:type="pct"/>
                  <w:vMerge w:val="restart"/>
                  <w:noWrap w:val="0"/>
                  <w:vAlign w:val="center"/>
                </w:tcPr>
                <w:p w14:paraId="4A30A65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bCs/>
                      <w:color w:val="auto"/>
                      <w:sz w:val="21"/>
                      <w:szCs w:val="21"/>
                    </w:rPr>
                    <w:t>通过</w:t>
                  </w:r>
                  <w:r>
                    <w:rPr>
                      <w:rFonts w:hint="eastAsia"/>
                      <w:color w:val="auto"/>
                      <w:sz w:val="21"/>
                      <w:szCs w:val="21"/>
                    </w:rPr>
                    <w:t>市政污水管网</w:t>
                  </w:r>
                  <w:r>
                    <w:rPr>
                      <w:rFonts w:hint="eastAsia"/>
                      <w:bCs/>
                      <w:color w:val="auto"/>
                      <w:sz w:val="21"/>
                      <w:szCs w:val="21"/>
                    </w:rPr>
                    <w:t>排入</w:t>
                  </w:r>
                  <w:r>
                    <w:rPr>
                      <w:rFonts w:hint="eastAsia"/>
                      <w:bCs/>
                      <w:color w:val="auto"/>
                      <w:sz w:val="21"/>
                      <w:szCs w:val="21"/>
                      <w:lang w:eastAsia="zh-CN"/>
                    </w:rPr>
                    <w:t>佛坪县污水处理厂</w:t>
                  </w:r>
                  <w:r>
                    <w:rPr>
                      <w:rFonts w:hint="eastAsia"/>
                      <w:bCs/>
                      <w:color w:val="auto"/>
                      <w:sz w:val="21"/>
                      <w:szCs w:val="21"/>
                    </w:rPr>
                    <w:t>处理</w:t>
                  </w:r>
                </w:p>
              </w:tc>
              <w:tc>
                <w:tcPr>
                  <w:tcW w:w="478" w:type="pct"/>
                  <w:vMerge w:val="restart"/>
                  <w:noWrap w:val="0"/>
                  <w:vAlign w:val="center"/>
                </w:tcPr>
                <w:p w14:paraId="0F2505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lang w:val="en-US" w:eastAsia="zh-CN"/>
                    </w:rPr>
                  </w:pPr>
                  <w:r>
                    <w:rPr>
                      <w:rFonts w:hint="eastAsia"/>
                      <w:color w:val="auto"/>
                      <w:sz w:val="21"/>
                      <w:szCs w:val="21"/>
                    </w:rPr>
                    <w:t>间歇排放</w:t>
                  </w:r>
                  <w:r>
                    <w:rPr>
                      <w:rFonts w:hint="eastAsia"/>
                      <w:color w:val="auto"/>
                      <w:sz w:val="21"/>
                      <w:szCs w:val="21"/>
                      <w:lang w:eastAsia="zh-CN"/>
                    </w:rPr>
                    <w:t>，排放期间流量不稳定</w:t>
                  </w:r>
                </w:p>
              </w:tc>
              <w:tc>
                <w:tcPr>
                  <w:tcW w:w="600" w:type="pct"/>
                  <w:vMerge w:val="restart"/>
                  <w:noWrap w:val="0"/>
                  <w:vAlign w:val="center"/>
                </w:tcPr>
                <w:p w14:paraId="1FFC6D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TW001</w:t>
                  </w:r>
                </w:p>
              </w:tc>
              <w:tc>
                <w:tcPr>
                  <w:tcW w:w="612" w:type="pct"/>
                  <w:vMerge w:val="restart"/>
                  <w:noWrap w:val="0"/>
                  <w:vAlign w:val="center"/>
                </w:tcPr>
                <w:p w14:paraId="2ECC08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化粪池</w:t>
                  </w:r>
                </w:p>
              </w:tc>
              <w:tc>
                <w:tcPr>
                  <w:tcW w:w="499" w:type="pct"/>
                  <w:vMerge w:val="restart"/>
                  <w:noWrap w:val="0"/>
                  <w:vAlign w:val="center"/>
                </w:tcPr>
                <w:p w14:paraId="62F97C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DW001</w:t>
                  </w:r>
                </w:p>
              </w:tc>
              <w:tc>
                <w:tcPr>
                  <w:tcW w:w="601" w:type="pct"/>
                  <w:vMerge w:val="restart"/>
                  <w:noWrap w:val="0"/>
                  <w:vAlign w:val="center"/>
                </w:tcPr>
                <w:p w14:paraId="7F2C11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是</w:t>
                  </w:r>
                </w:p>
              </w:tc>
              <w:tc>
                <w:tcPr>
                  <w:tcW w:w="434" w:type="pct"/>
                  <w:vMerge w:val="restart"/>
                  <w:noWrap w:val="0"/>
                  <w:vAlign w:val="center"/>
                </w:tcPr>
                <w:p w14:paraId="6F29A4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lang w:val="en-US" w:eastAsia="zh-CN"/>
                    </w:rPr>
                  </w:pPr>
                  <w:r>
                    <w:rPr>
                      <w:rFonts w:hint="eastAsia"/>
                      <w:color w:val="auto"/>
                      <w:sz w:val="21"/>
                      <w:szCs w:val="21"/>
                    </w:rPr>
                    <w:t>一般排放口</w:t>
                  </w:r>
                  <w:r>
                    <w:rPr>
                      <w:rFonts w:hint="eastAsia"/>
                      <w:color w:val="auto"/>
                      <w:sz w:val="21"/>
                      <w:szCs w:val="21"/>
                      <w:lang w:eastAsia="zh-CN"/>
                    </w:rPr>
                    <w:t>（</w:t>
                  </w:r>
                  <w:r>
                    <w:rPr>
                      <w:rFonts w:hint="eastAsia"/>
                      <w:bCs/>
                      <w:color w:val="auto"/>
                      <w:sz w:val="21"/>
                      <w:szCs w:val="21"/>
                      <w:lang w:eastAsia="zh-CN"/>
                    </w:rPr>
                    <w:t>佛坪县污水处理厂）</w:t>
                  </w:r>
                </w:p>
              </w:tc>
            </w:tr>
            <w:tr w14:paraId="0773C2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4" w:type="pct"/>
                  <w:vMerge w:val="continue"/>
                  <w:noWrap w:val="0"/>
                  <w:vAlign w:val="center"/>
                </w:tcPr>
                <w:p w14:paraId="1013830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390" w:type="pct"/>
                  <w:vMerge w:val="continue"/>
                  <w:noWrap w:val="0"/>
                  <w:vAlign w:val="center"/>
                </w:tcPr>
                <w:p w14:paraId="6199993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984" w:type="dxa"/>
                  <w:noWrap w:val="0"/>
                  <w:vAlign w:val="center"/>
                </w:tcPr>
                <w:p w14:paraId="225BA6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COD</w:t>
                  </w:r>
                </w:p>
              </w:tc>
              <w:tc>
                <w:tcPr>
                  <w:tcW w:w="607" w:type="pct"/>
                  <w:vMerge w:val="continue"/>
                  <w:noWrap w:val="0"/>
                  <w:vAlign w:val="center"/>
                </w:tcPr>
                <w:p w14:paraId="5279B5F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78" w:type="pct"/>
                  <w:vMerge w:val="continue"/>
                  <w:noWrap w:val="0"/>
                  <w:vAlign w:val="center"/>
                </w:tcPr>
                <w:p w14:paraId="7307487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00" w:type="pct"/>
                  <w:vMerge w:val="continue"/>
                  <w:noWrap w:val="0"/>
                  <w:vAlign w:val="center"/>
                </w:tcPr>
                <w:p w14:paraId="7189E9C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12" w:type="pct"/>
                  <w:vMerge w:val="continue"/>
                  <w:noWrap w:val="0"/>
                  <w:vAlign w:val="center"/>
                </w:tcPr>
                <w:p w14:paraId="258DC5B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99" w:type="pct"/>
                  <w:vMerge w:val="continue"/>
                  <w:noWrap w:val="0"/>
                  <w:vAlign w:val="center"/>
                </w:tcPr>
                <w:p w14:paraId="7347E95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01" w:type="pct"/>
                  <w:vMerge w:val="continue"/>
                  <w:noWrap w:val="0"/>
                  <w:vAlign w:val="center"/>
                </w:tcPr>
                <w:p w14:paraId="618ED9B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34" w:type="pct"/>
                  <w:vMerge w:val="continue"/>
                  <w:noWrap w:val="0"/>
                  <w:vAlign w:val="center"/>
                </w:tcPr>
                <w:p w14:paraId="07B0D03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r>
            <w:tr w14:paraId="15B633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4" w:type="pct"/>
                  <w:vMerge w:val="continue"/>
                  <w:noWrap w:val="0"/>
                  <w:vAlign w:val="center"/>
                </w:tcPr>
                <w:p w14:paraId="004A4F3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390" w:type="pct"/>
                  <w:vMerge w:val="continue"/>
                  <w:noWrap w:val="0"/>
                  <w:vAlign w:val="center"/>
                </w:tcPr>
                <w:p w14:paraId="1683D27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984" w:type="dxa"/>
                  <w:noWrap w:val="0"/>
                  <w:vAlign w:val="center"/>
                </w:tcPr>
                <w:p w14:paraId="0628D3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BOD</w:t>
                  </w:r>
                  <w:r>
                    <w:rPr>
                      <w:rFonts w:hint="eastAsia"/>
                      <w:color w:val="auto"/>
                      <w:sz w:val="21"/>
                      <w:szCs w:val="21"/>
                      <w:vertAlign w:val="subscript"/>
                    </w:rPr>
                    <w:t>5</w:t>
                  </w:r>
                </w:p>
              </w:tc>
              <w:tc>
                <w:tcPr>
                  <w:tcW w:w="607" w:type="pct"/>
                  <w:vMerge w:val="continue"/>
                  <w:noWrap w:val="0"/>
                  <w:vAlign w:val="center"/>
                </w:tcPr>
                <w:p w14:paraId="748D45B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78" w:type="pct"/>
                  <w:vMerge w:val="continue"/>
                  <w:noWrap w:val="0"/>
                  <w:vAlign w:val="center"/>
                </w:tcPr>
                <w:p w14:paraId="3F31AC1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00" w:type="pct"/>
                  <w:vMerge w:val="continue"/>
                  <w:noWrap w:val="0"/>
                  <w:vAlign w:val="center"/>
                </w:tcPr>
                <w:p w14:paraId="5163DE6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12" w:type="pct"/>
                  <w:vMerge w:val="continue"/>
                  <w:noWrap w:val="0"/>
                  <w:vAlign w:val="center"/>
                </w:tcPr>
                <w:p w14:paraId="5A56561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99" w:type="pct"/>
                  <w:vMerge w:val="continue"/>
                  <w:noWrap w:val="0"/>
                  <w:vAlign w:val="center"/>
                </w:tcPr>
                <w:p w14:paraId="4FE48EF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01" w:type="pct"/>
                  <w:vMerge w:val="continue"/>
                  <w:noWrap w:val="0"/>
                  <w:vAlign w:val="center"/>
                </w:tcPr>
                <w:p w14:paraId="675795E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34" w:type="pct"/>
                  <w:vMerge w:val="continue"/>
                  <w:noWrap w:val="0"/>
                  <w:vAlign w:val="center"/>
                </w:tcPr>
                <w:p w14:paraId="6F101D8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r>
            <w:tr w14:paraId="050EEC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4" w:type="pct"/>
                  <w:vMerge w:val="continue"/>
                  <w:noWrap w:val="0"/>
                  <w:vAlign w:val="center"/>
                </w:tcPr>
                <w:p w14:paraId="51C9814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390" w:type="pct"/>
                  <w:vMerge w:val="continue"/>
                  <w:noWrap w:val="0"/>
                  <w:vAlign w:val="center"/>
                </w:tcPr>
                <w:p w14:paraId="7FE8FAB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984" w:type="dxa"/>
                  <w:noWrap w:val="0"/>
                  <w:vAlign w:val="center"/>
                </w:tcPr>
                <w:p w14:paraId="0F7AE4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悬浮物</w:t>
                  </w:r>
                </w:p>
              </w:tc>
              <w:tc>
                <w:tcPr>
                  <w:tcW w:w="607" w:type="pct"/>
                  <w:vMerge w:val="continue"/>
                  <w:noWrap w:val="0"/>
                  <w:vAlign w:val="center"/>
                </w:tcPr>
                <w:p w14:paraId="6A80769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78" w:type="pct"/>
                  <w:vMerge w:val="continue"/>
                  <w:noWrap w:val="0"/>
                  <w:vAlign w:val="center"/>
                </w:tcPr>
                <w:p w14:paraId="3D49DDF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00" w:type="pct"/>
                  <w:vMerge w:val="continue"/>
                  <w:noWrap w:val="0"/>
                  <w:vAlign w:val="center"/>
                </w:tcPr>
                <w:p w14:paraId="4064F48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12" w:type="pct"/>
                  <w:vMerge w:val="continue"/>
                  <w:noWrap w:val="0"/>
                  <w:vAlign w:val="center"/>
                </w:tcPr>
                <w:p w14:paraId="4A72EE7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99" w:type="pct"/>
                  <w:vMerge w:val="continue"/>
                  <w:noWrap w:val="0"/>
                  <w:vAlign w:val="center"/>
                </w:tcPr>
                <w:p w14:paraId="3203B9D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01" w:type="pct"/>
                  <w:vMerge w:val="continue"/>
                  <w:noWrap w:val="0"/>
                  <w:vAlign w:val="center"/>
                </w:tcPr>
                <w:p w14:paraId="4797FD3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34" w:type="pct"/>
                  <w:vMerge w:val="continue"/>
                  <w:noWrap w:val="0"/>
                  <w:vAlign w:val="center"/>
                </w:tcPr>
                <w:p w14:paraId="05FADA1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r>
            <w:tr w14:paraId="13ACC0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4" w:type="pct"/>
                  <w:vMerge w:val="continue"/>
                  <w:noWrap w:val="0"/>
                  <w:vAlign w:val="center"/>
                </w:tcPr>
                <w:p w14:paraId="370BEF0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390" w:type="pct"/>
                  <w:vMerge w:val="continue"/>
                  <w:noWrap w:val="0"/>
                  <w:vAlign w:val="center"/>
                </w:tcPr>
                <w:p w14:paraId="11115CC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984" w:type="dxa"/>
                  <w:noWrap w:val="0"/>
                  <w:vAlign w:val="center"/>
                </w:tcPr>
                <w:p w14:paraId="16F586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氨氮</w:t>
                  </w:r>
                </w:p>
              </w:tc>
              <w:tc>
                <w:tcPr>
                  <w:tcW w:w="607" w:type="pct"/>
                  <w:vMerge w:val="continue"/>
                  <w:noWrap w:val="0"/>
                  <w:vAlign w:val="center"/>
                </w:tcPr>
                <w:p w14:paraId="5C97EDD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78" w:type="pct"/>
                  <w:vMerge w:val="continue"/>
                  <w:noWrap w:val="0"/>
                  <w:vAlign w:val="center"/>
                </w:tcPr>
                <w:p w14:paraId="3677851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00" w:type="pct"/>
                  <w:vMerge w:val="continue"/>
                  <w:noWrap w:val="0"/>
                  <w:vAlign w:val="center"/>
                </w:tcPr>
                <w:p w14:paraId="4D9968A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12" w:type="pct"/>
                  <w:vMerge w:val="continue"/>
                  <w:noWrap w:val="0"/>
                  <w:vAlign w:val="center"/>
                </w:tcPr>
                <w:p w14:paraId="2CCF9D6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99" w:type="pct"/>
                  <w:vMerge w:val="continue"/>
                  <w:noWrap w:val="0"/>
                  <w:vAlign w:val="center"/>
                </w:tcPr>
                <w:p w14:paraId="001C5BF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01" w:type="pct"/>
                  <w:vMerge w:val="continue"/>
                  <w:noWrap w:val="0"/>
                  <w:vAlign w:val="center"/>
                </w:tcPr>
                <w:p w14:paraId="3DFC11C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34" w:type="pct"/>
                  <w:vMerge w:val="continue"/>
                  <w:noWrap w:val="0"/>
                  <w:vAlign w:val="center"/>
                </w:tcPr>
                <w:p w14:paraId="72BB05E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r>
            <w:tr w14:paraId="46AC78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4" w:type="pct"/>
                  <w:vMerge w:val="continue"/>
                  <w:noWrap w:val="0"/>
                  <w:vAlign w:val="center"/>
                </w:tcPr>
                <w:p w14:paraId="6E3B8EF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390" w:type="pct"/>
                  <w:vMerge w:val="continue"/>
                  <w:noWrap w:val="0"/>
                  <w:vAlign w:val="center"/>
                </w:tcPr>
                <w:p w14:paraId="49C64DA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984" w:type="dxa"/>
                  <w:noWrap w:val="0"/>
                  <w:vAlign w:val="center"/>
                </w:tcPr>
                <w:p w14:paraId="4BC200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lang w:eastAsia="zh-CN"/>
                    </w:rPr>
                    <w:t>总氮</w:t>
                  </w:r>
                </w:p>
              </w:tc>
              <w:tc>
                <w:tcPr>
                  <w:tcW w:w="607" w:type="pct"/>
                  <w:vMerge w:val="continue"/>
                  <w:noWrap w:val="0"/>
                  <w:vAlign w:val="center"/>
                </w:tcPr>
                <w:p w14:paraId="0C485D2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78" w:type="pct"/>
                  <w:vMerge w:val="continue"/>
                  <w:noWrap w:val="0"/>
                  <w:vAlign w:val="center"/>
                </w:tcPr>
                <w:p w14:paraId="6E87EA4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00" w:type="pct"/>
                  <w:vMerge w:val="continue"/>
                  <w:noWrap w:val="0"/>
                  <w:vAlign w:val="center"/>
                </w:tcPr>
                <w:p w14:paraId="31A17B0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12" w:type="pct"/>
                  <w:vMerge w:val="continue"/>
                  <w:noWrap w:val="0"/>
                  <w:vAlign w:val="center"/>
                </w:tcPr>
                <w:p w14:paraId="2BCC92E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99" w:type="pct"/>
                  <w:vMerge w:val="continue"/>
                  <w:noWrap w:val="0"/>
                  <w:vAlign w:val="center"/>
                </w:tcPr>
                <w:p w14:paraId="128A842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01" w:type="pct"/>
                  <w:vMerge w:val="continue"/>
                  <w:noWrap w:val="0"/>
                  <w:vAlign w:val="center"/>
                </w:tcPr>
                <w:p w14:paraId="765F946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34" w:type="pct"/>
                  <w:vMerge w:val="continue"/>
                  <w:noWrap w:val="0"/>
                  <w:vAlign w:val="center"/>
                </w:tcPr>
                <w:p w14:paraId="5F2E827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r>
            <w:tr w14:paraId="2911CD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4" w:type="pct"/>
                  <w:vMerge w:val="continue"/>
                  <w:noWrap w:val="0"/>
                  <w:vAlign w:val="center"/>
                </w:tcPr>
                <w:p w14:paraId="6301876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390" w:type="pct"/>
                  <w:vMerge w:val="continue"/>
                  <w:noWrap w:val="0"/>
                  <w:vAlign w:val="center"/>
                </w:tcPr>
                <w:p w14:paraId="75D5AB0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984" w:type="dxa"/>
                  <w:noWrap w:val="0"/>
                  <w:vAlign w:val="center"/>
                </w:tcPr>
                <w:p w14:paraId="42EDCC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总磷</w:t>
                  </w:r>
                </w:p>
              </w:tc>
              <w:tc>
                <w:tcPr>
                  <w:tcW w:w="607" w:type="pct"/>
                  <w:vMerge w:val="continue"/>
                  <w:noWrap w:val="0"/>
                  <w:vAlign w:val="center"/>
                </w:tcPr>
                <w:p w14:paraId="27A640F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78" w:type="pct"/>
                  <w:vMerge w:val="continue"/>
                  <w:noWrap w:val="0"/>
                  <w:vAlign w:val="center"/>
                </w:tcPr>
                <w:p w14:paraId="5CCC131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00" w:type="pct"/>
                  <w:vMerge w:val="continue"/>
                  <w:noWrap w:val="0"/>
                  <w:vAlign w:val="center"/>
                </w:tcPr>
                <w:p w14:paraId="3E1F87B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12" w:type="pct"/>
                  <w:vMerge w:val="continue"/>
                  <w:noWrap w:val="0"/>
                  <w:vAlign w:val="center"/>
                </w:tcPr>
                <w:p w14:paraId="4F408B4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99" w:type="pct"/>
                  <w:vMerge w:val="continue"/>
                  <w:noWrap w:val="0"/>
                  <w:vAlign w:val="center"/>
                </w:tcPr>
                <w:p w14:paraId="61DEC44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601" w:type="pct"/>
                  <w:vMerge w:val="continue"/>
                  <w:noWrap w:val="0"/>
                  <w:vAlign w:val="center"/>
                </w:tcPr>
                <w:p w14:paraId="47B7239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c>
                <w:tcPr>
                  <w:tcW w:w="434" w:type="pct"/>
                  <w:vMerge w:val="continue"/>
                  <w:noWrap w:val="0"/>
                  <w:vAlign w:val="center"/>
                </w:tcPr>
                <w:p w14:paraId="219D243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p>
              </w:tc>
            </w:tr>
          </w:tbl>
          <w:p w14:paraId="147700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表4-</w:t>
            </w:r>
            <w:r>
              <w:rPr>
                <w:rFonts w:hint="eastAsia"/>
                <w:b/>
                <w:bCs/>
                <w:color w:val="auto"/>
                <w:sz w:val="21"/>
                <w:szCs w:val="21"/>
                <w:lang w:val="en-US" w:eastAsia="zh-CN"/>
              </w:rPr>
              <w:t>6</w:t>
            </w:r>
            <w:r>
              <w:rPr>
                <w:rFonts w:hint="eastAsia"/>
                <w:b/>
                <w:bCs/>
                <w:color w:val="auto"/>
                <w:sz w:val="21"/>
                <w:szCs w:val="21"/>
              </w:rPr>
              <w:t xml:space="preserve"> </w:t>
            </w:r>
            <w:r>
              <w:rPr>
                <w:rFonts w:hint="eastAsia"/>
                <w:b/>
                <w:bCs/>
                <w:color w:val="auto"/>
                <w:sz w:val="21"/>
                <w:szCs w:val="21"/>
                <w:lang w:eastAsia="zh-CN"/>
              </w:rPr>
              <w:t>本项目</w:t>
            </w:r>
            <w:r>
              <w:rPr>
                <w:rFonts w:hint="eastAsia"/>
                <w:b/>
                <w:bCs/>
                <w:color w:val="auto"/>
                <w:sz w:val="21"/>
                <w:szCs w:val="21"/>
              </w:rPr>
              <w:t>废水间接排放口基本情况表</w:t>
            </w:r>
          </w:p>
          <w:tbl>
            <w:tblPr>
              <w:tblStyle w:val="26"/>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78"/>
              <w:gridCol w:w="933"/>
              <w:gridCol w:w="1363"/>
              <w:gridCol w:w="1215"/>
              <w:gridCol w:w="781"/>
              <w:gridCol w:w="897"/>
              <w:gridCol w:w="383"/>
              <w:gridCol w:w="682"/>
              <w:gridCol w:w="920"/>
              <w:gridCol w:w="1482"/>
            </w:tblGrid>
            <w:tr w14:paraId="56864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9" w:type="pct"/>
                  <w:vMerge w:val="restart"/>
                  <w:vAlign w:val="center"/>
                </w:tcPr>
                <w:p w14:paraId="77687A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r>
                    <w:rPr>
                      <w:rFonts w:hint="eastAsia" w:cs="宋体"/>
                      <w:b/>
                      <w:bCs/>
                      <w:color w:val="auto"/>
                      <w:sz w:val="21"/>
                      <w:szCs w:val="21"/>
                    </w:rPr>
                    <w:t>序号</w:t>
                  </w:r>
                </w:p>
              </w:tc>
              <w:tc>
                <w:tcPr>
                  <w:tcW w:w="516" w:type="pct"/>
                  <w:vMerge w:val="restart"/>
                  <w:vAlign w:val="center"/>
                </w:tcPr>
                <w:p w14:paraId="3928B0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r>
                    <w:rPr>
                      <w:rFonts w:hint="eastAsia" w:cs="宋体"/>
                      <w:b/>
                      <w:bCs/>
                      <w:color w:val="auto"/>
                      <w:sz w:val="21"/>
                      <w:szCs w:val="21"/>
                    </w:rPr>
                    <w:t>排放口编号</w:t>
                  </w:r>
                </w:p>
              </w:tc>
              <w:tc>
                <w:tcPr>
                  <w:tcW w:w="1426" w:type="pct"/>
                  <w:gridSpan w:val="2"/>
                  <w:vAlign w:val="center"/>
                </w:tcPr>
                <w:p w14:paraId="074F5B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r>
                    <w:rPr>
                      <w:rFonts w:hint="eastAsia" w:cs="宋体"/>
                      <w:b/>
                      <w:bCs/>
                      <w:color w:val="auto"/>
                      <w:sz w:val="21"/>
                      <w:szCs w:val="21"/>
                    </w:rPr>
                    <w:t>排放口地理坐标</w:t>
                  </w:r>
                </w:p>
              </w:tc>
              <w:tc>
                <w:tcPr>
                  <w:tcW w:w="432" w:type="pct"/>
                  <w:vMerge w:val="restart"/>
                  <w:vAlign w:val="center"/>
                </w:tcPr>
                <w:p w14:paraId="303B73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r>
                    <w:rPr>
                      <w:rFonts w:hint="eastAsia" w:cs="宋体"/>
                      <w:b/>
                      <w:bCs/>
                      <w:color w:val="auto"/>
                      <w:sz w:val="21"/>
                      <w:szCs w:val="21"/>
                    </w:rPr>
                    <w:t>废水总排放量(m</w:t>
                  </w:r>
                  <w:r>
                    <w:rPr>
                      <w:rFonts w:hint="eastAsia" w:cs="宋体"/>
                      <w:b/>
                      <w:bCs/>
                      <w:color w:val="auto"/>
                      <w:sz w:val="21"/>
                      <w:szCs w:val="21"/>
                      <w:vertAlign w:val="superscript"/>
                    </w:rPr>
                    <w:t>3</w:t>
                  </w:r>
                  <w:r>
                    <w:rPr>
                      <w:rFonts w:hint="eastAsia" w:cs="宋体"/>
                      <w:b/>
                      <w:bCs/>
                      <w:color w:val="auto"/>
                      <w:sz w:val="21"/>
                      <w:szCs w:val="21"/>
                    </w:rPr>
                    <w:t>/a)</w:t>
                  </w:r>
                </w:p>
              </w:tc>
              <w:tc>
                <w:tcPr>
                  <w:tcW w:w="496" w:type="pct"/>
                  <w:vMerge w:val="restart"/>
                  <w:vAlign w:val="center"/>
                </w:tcPr>
                <w:p w14:paraId="2B5391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r>
                    <w:rPr>
                      <w:rFonts w:hint="eastAsia" w:cs="宋体"/>
                      <w:b/>
                      <w:bCs/>
                      <w:color w:val="auto"/>
                      <w:sz w:val="21"/>
                      <w:szCs w:val="21"/>
                    </w:rPr>
                    <w:t>排放去向</w:t>
                  </w:r>
                </w:p>
              </w:tc>
              <w:tc>
                <w:tcPr>
                  <w:tcW w:w="212" w:type="pct"/>
                  <w:vMerge w:val="restart"/>
                  <w:vAlign w:val="center"/>
                </w:tcPr>
                <w:p w14:paraId="391465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r>
                    <w:rPr>
                      <w:rFonts w:hint="eastAsia" w:cs="宋体"/>
                      <w:b/>
                      <w:bCs/>
                      <w:color w:val="auto"/>
                      <w:sz w:val="21"/>
                      <w:szCs w:val="21"/>
                    </w:rPr>
                    <w:t>排放规律</w:t>
                  </w:r>
                </w:p>
              </w:tc>
              <w:tc>
                <w:tcPr>
                  <w:tcW w:w="1706" w:type="pct"/>
                  <w:gridSpan w:val="3"/>
                  <w:vAlign w:val="center"/>
                </w:tcPr>
                <w:p w14:paraId="2FD6DE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r>
                    <w:rPr>
                      <w:rFonts w:hint="eastAsia" w:cs="宋体"/>
                      <w:b/>
                      <w:bCs/>
                      <w:color w:val="auto"/>
                      <w:sz w:val="21"/>
                      <w:szCs w:val="21"/>
                    </w:rPr>
                    <w:t>受纳污水处理厂信息</w:t>
                  </w:r>
                </w:p>
              </w:tc>
            </w:tr>
            <w:tr w14:paraId="0BB3F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209" w:type="pct"/>
                  <w:vMerge w:val="continue"/>
                  <w:vAlign w:val="center"/>
                </w:tcPr>
                <w:p w14:paraId="66E29A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p>
              </w:tc>
              <w:tc>
                <w:tcPr>
                  <w:tcW w:w="516" w:type="pct"/>
                  <w:vMerge w:val="continue"/>
                  <w:vAlign w:val="center"/>
                </w:tcPr>
                <w:p w14:paraId="4855E8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p>
              </w:tc>
              <w:tc>
                <w:tcPr>
                  <w:tcW w:w="754" w:type="pct"/>
                  <w:vAlign w:val="center"/>
                </w:tcPr>
                <w:p w14:paraId="33EF09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r>
                    <w:rPr>
                      <w:rFonts w:hint="eastAsia" w:cs="宋体"/>
                      <w:b/>
                      <w:bCs/>
                      <w:color w:val="auto"/>
                      <w:sz w:val="21"/>
                      <w:szCs w:val="21"/>
                    </w:rPr>
                    <w:t>经度</w:t>
                  </w:r>
                </w:p>
              </w:tc>
              <w:tc>
                <w:tcPr>
                  <w:tcW w:w="671" w:type="pct"/>
                  <w:vAlign w:val="center"/>
                </w:tcPr>
                <w:p w14:paraId="2596D9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r>
                    <w:rPr>
                      <w:rFonts w:hint="eastAsia" w:cs="宋体"/>
                      <w:b/>
                      <w:bCs/>
                      <w:color w:val="auto"/>
                      <w:sz w:val="21"/>
                      <w:szCs w:val="21"/>
                    </w:rPr>
                    <w:t>纬度</w:t>
                  </w:r>
                </w:p>
              </w:tc>
              <w:tc>
                <w:tcPr>
                  <w:tcW w:w="432" w:type="pct"/>
                  <w:vMerge w:val="continue"/>
                  <w:vAlign w:val="center"/>
                </w:tcPr>
                <w:p w14:paraId="271433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p>
              </w:tc>
              <w:tc>
                <w:tcPr>
                  <w:tcW w:w="496" w:type="pct"/>
                  <w:vMerge w:val="continue"/>
                  <w:vAlign w:val="center"/>
                </w:tcPr>
                <w:p w14:paraId="0ADAAD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p>
              </w:tc>
              <w:tc>
                <w:tcPr>
                  <w:tcW w:w="212" w:type="pct"/>
                  <w:vMerge w:val="continue"/>
                  <w:vAlign w:val="center"/>
                </w:tcPr>
                <w:p w14:paraId="02049A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p>
              </w:tc>
              <w:tc>
                <w:tcPr>
                  <w:tcW w:w="377" w:type="pct"/>
                  <w:vAlign w:val="center"/>
                </w:tcPr>
                <w:p w14:paraId="5AD307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r>
                    <w:rPr>
                      <w:rFonts w:hint="eastAsia" w:cs="宋体"/>
                      <w:b/>
                      <w:bCs/>
                      <w:color w:val="auto"/>
                      <w:sz w:val="21"/>
                      <w:szCs w:val="21"/>
                    </w:rPr>
                    <w:t>名称</w:t>
                  </w:r>
                </w:p>
              </w:tc>
              <w:tc>
                <w:tcPr>
                  <w:tcW w:w="509" w:type="pct"/>
                  <w:vAlign w:val="center"/>
                </w:tcPr>
                <w:p w14:paraId="37E9D2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r>
                    <w:rPr>
                      <w:rFonts w:hint="eastAsia" w:cs="宋体"/>
                      <w:b/>
                      <w:bCs/>
                      <w:color w:val="auto"/>
                      <w:sz w:val="21"/>
                      <w:szCs w:val="21"/>
                    </w:rPr>
                    <w:t>污染物种类</w:t>
                  </w:r>
                </w:p>
              </w:tc>
              <w:tc>
                <w:tcPr>
                  <w:tcW w:w="820" w:type="pct"/>
                  <w:vAlign w:val="center"/>
                </w:tcPr>
                <w:p w14:paraId="7B1719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cs="宋体"/>
                      <w:b/>
                      <w:bCs/>
                      <w:color w:val="auto"/>
                      <w:sz w:val="21"/>
                      <w:szCs w:val="21"/>
                    </w:rPr>
                  </w:pPr>
                  <w:r>
                    <w:rPr>
                      <w:rFonts w:hint="eastAsia" w:cs="宋体"/>
                      <w:b/>
                      <w:bCs/>
                      <w:color w:val="auto"/>
                      <w:sz w:val="21"/>
                      <w:szCs w:val="21"/>
                    </w:rPr>
                    <w:t>国家或地方污染物排放标准浓度限值</w:t>
                  </w:r>
                </w:p>
              </w:tc>
            </w:tr>
            <w:tr w14:paraId="6D7CE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 w:type="pct"/>
                  <w:vMerge w:val="restart"/>
                  <w:vAlign w:val="center"/>
                </w:tcPr>
                <w:p w14:paraId="2EF3F6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s="宋体"/>
                      <w:color w:val="auto"/>
                      <w:sz w:val="21"/>
                      <w:szCs w:val="21"/>
                      <w:lang w:val="en-US" w:eastAsia="zh-CN"/>
                    </w:rPr>
                  </w:pPr>
                  <w:r>
                    <w:rPr>
                      <w:rFonts w:hint="eastAsia" w:cs="宋体"/>
                      <w:color w:val="auto"/>
                      <w:sz w:val="21"/>
                      <w:szCs w:val="21"/>
                      <w:lang w:val="en-US" w:eastAsia="zh-CN"/>
                    </w:rPr>
                    <w:t>1</w:t>
                  </w:r>
                </w:p>
              </w:tc>
              <w:tc>
                <w:tcPr>
                  <w:tcW w:w="516" w:type="pct"/>
                  <w:vMerge w:val="restart"/>
                  <w:vAlign w:val="center"/>
                </w:tcPr>
                <w:p w14:paraId="4CFDD6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s="宋体"/>
                      <w:color w:val="auto"/>
                      <w:sz w:val="21"/>
                      <w:szCs w:val="21"/>
                      <w:lang w:eastAsia="zh-CN"/>
                    </w:rPr>
                  </w:pPr>
                  <w:r>
                    <w:rPr>
                      <w:rFonts w:hint="eastAsia"/>
                      <w:color w:val="auto"/>
                      <w:sz w:val="21"/>
                      <w:szCs w:val="21"/>
                    </w:rPr>
                    <w:t>DW00</w:t>
                  </w:r>
                  <w:r>
                    <w:rPr>
                      <w:rFonts w:hint="eastAsia"/>
                      <w:color w:val="auto"/>
                      <w:sz w:val="21"/>
                      <w:szCs w:val="21"/>
                      <w:lang w:val="en-US" w:eastAsia="zh-CN"/>
                    </w:rPr>
                    <w:t>1</w:t>
                  </w:r>
                </w:p>
              </w:tc>
              <w:tc>
                <w:tcPr>
                  <w:tcW w:w="754" w:type="pct"/>
                  <w:vMerge w:val="restart"/>
                  <w:vAlign w:val="center"/>
                </w:tcPr>
                <w:p w14:paraId="373FD2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r>
                    <w:rPr>
                      <w:rFonts w:hint="eastAsia"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rPr>
                    <w:t>.</w:t>
                  </w:r>
                  <w:r>
                    <w:rPr>
                      <w:rFonts w:hint="eastAsia" w:cs="Times New Roman"/>
                      <w:color w:val="auto"/>
                      <w:sz w:val="21"/>
                      <w:szCs w:val="21"/>
                      <w:highlight w:val="none"/>
                      <w:lang w:val="en-US" w:eastAsia="zh-CN"/>
                    </w:rPr>
                    <w:t>989016</w:t>
                  </w:r>
                  <w:r>
                    <w:rPr>
                      <w:rFonts w:hint="default" w:ascii="Times New Roman" w:hAnsi="Times New Roman" w:eastAsia="宋体" w:cs="Times New Roman"/>
                      <w:color w:val="auto"/>
                      <w:sz w:val="21"/>
                      <w:szCs w:val="21"/>
                      <w:highlight w:val="none"/>
                    </w:rPr>
                    <w:t>°</w:t>
                  </w:r>
                </w:p>
              </w:tc>
              <w:tc>
                <w:tcPr>
                  <w:tcW w:w="671" w:type="pct"/>
                  <w:vMerge w:val="restart"/>
                  <w:vAlign w:val="center"/>
                </w:tcPr>
                <w:p w14:paraId="78E0FB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3</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.5</w:t>
                  </w:r>
                  <w:r>
                    <w:rPr>
                      <w:rFonts w:hint="eastAsia" w:cs="Times New Roman"/>
                      <w:color w:val="auto"/>
                      <w:sz w:val="21"/>
                      <w:szCs w:val="21"/>
                      <w:highlight w:val="none"/>
                      <w:lang w:val="en-US" w:eastAsia="zh-CN"/>
                    </w:rPr>
                    <w:t>32718</w:t>
                  </w:r>
                  <w:r>
                    <w:rPr>
                      <w:rFonts w:hint="default" w:ascii="Times New Roman" w:hAnsi="Times New Roman" w:eastAsia="宋体" w:cs="Times New Roman"/>
                      <w:color w:val="auto"/>
                      <w:sz w:val="21"/>
                      <w:szCs w:val="21"/>
                      <w:highlight w:val="none"/>
                    </w:rPr>
                    <w:t>°</w:t>
                  </w:r>
                </w:p>
              </w:tc>
              <w:tc>
                <w:tcPr>
                  <w:tcW w:w="432" w:type="pct"/>
                  <w:vMerge w:val="restart"/>
                  <w:vAlign w:val="center"/>
                </w:tcPr>
                <w:p w14:paraId="4EEB92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宋体"/>
                      <w:color w:val="auto"/>
                      <w:sz w:val="21"/>
                      <w:szCs w:val="21"/>
                      <w:highlight w:val="none"/>
                      <w:lang w:val="en-US" w:eastAsia="zh-CN"/>
                    </w:rPr>
                  </w:pPr>
                  <w:r>
                    <w:rPr>
                      <w:rFonts w:hint="eastAsia" w:cs="宋体"/>
                      <w:color w:val="auto"/>
                      <w:sz w:val="21"/>
                      <w:szCs w:val="21"/>
                      <w:highlight w:val="none"/>
                      <w:lang w:val="en-US" w:eastAsia="zh-CN"/>
                    </w:rPr>
                    <w:t>216</w:t>
                  </w:r>
                </w:p>
              </w:tc>
              <w:tc>
                <w:tcPr>
                  <w:tcW w:w="496" w:type="pct"/>
                  <w:vMerge w:val="restart"/>
                  <w:vAlign w:val="center"/>
                </w:tcPr>
                <w:p w14:paraId="7D28859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r>
                    <w:rPr>
                      <w:rFonts w:hint="eastAsia"/>
                      <w:bCs/>
                      <w:color w:val="auto"/>
                      <w:sz w:val="21"/>
                      <w:szCs w:val="21"/>
                      <w:lang w:eastAsia="zh-CN"/>
                    </w:rPr>
                    <w:t>排入化粪池，</w:t>
                  </w:r>
                  <w:r>
                    <w:rPr>
                      <w:rFonts w:hint="eastAsia"/>
                      <w:bCs/>
                      <w:color w:val="auto"/>
                      <w:sz w:val="21"/>
                      <w:szCs w:val="21"/>
                    </w:rPr>
                    <w:t>通过市政污水管网排入</w:t>
                  </w:r>
                  <w:r>
                    <w:rPr>
                      <w:rFonts w:hint="eastAsia"/>
                      <w:bCs/>
                      <w:color w:val="auto"/>
                      <w:sz w:val="21"/>
                      <w:szCs w:val="21"/>
                      <w:lang w:eastAsia="zh-CN"/>
                    </w:rPr>
                    <w:t>佛坪县污水处理厂</w:t>
                  </w:r>
                  <w:r>
                    <w:rPr>
                      <w:rFonts w:hint="eastAsia"/>
                      <w:bCs/>
                      <w:color w:val="auto"/>
                      <w:sz w:val="21"/>
                      <w:szCs w:val="21"/>
                    </w:rPr>
                    <w:t>处理</w:t>
                  </w:r>
                </w:p>
              </w:tc>
              <w:tc>
                <w:tcPr>
                  <w:tcW w:w="212" w:type="pct"/>
                  <w:vMerge w:val="restart"/>
                  <w:vAlign w:val="center"/>
                </w:tcPr>
                <w:p w14:paraId="2322C22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bookmarkStart w:id="42" w:name="OLE_LINK37"/>
                  <w:r>
                    <w:rPr>
                      <w:rFonts w:hint="eastAsia"/>
                      <w:color w:val="auto"/>
                      <w:sz w:val="21"/>
                      <w:szCs w:val="21"/>
                    </w:rPr>
                    <w:t>间歇排放</w:t>
                  </w:r>
                  <w:bookmarkEnd w:id="42"/>
                </w:p>
              </w:tc>
              <w:tc>
                <w:tcPr>
                  <w:tcW w:w="377" w:type="pct"/>
                  <w:vMerge w:val="restart"/>
                  <w:vAlign w:val="center"/>
                </w:tcPr>
                <w:p w14:paraId="6119B20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Cs/>
                      <w:color w:val="auto"/>
                      <w:sz w:val="21"/>
                      <w:szCs w:val="21"/>
                      <w:lang w:eastAsia="zh-CN"/>
                    </w:rPr>
                  </w:pPr>
                  <w:r>
                    <w:rPr>
                      <w:rFonts w:hint="eastAsia"/>
                      <w:bCs/>
                      <w:color w:val="auto"/>
                      <w:sz w:val="21"/>
                      <w:szCs w:val="21"/>
                      <w:lang w:eastAsia="zh-CN"/>
                    </w:rPr>
                    <w:t>佛坪县污水处理厂</w:t>
                  </w:r>
                </w:p>
              </w:tc>
              <w:tc>
                <w:tcPr>
                  <w:tcW w:w="509" w:type="pct"/>
                  <w:vAlign w:val="center"/>
                </w:tcPr>
                <w:p w14:paraId="6A10315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pH值</w:t>
                  </w:r>
                </w:p>
              </w:tc>
              <w:tc>
                <w:tcPr>
                  <w:tcW w:w="820" w:type="pct"/>
                  <w:vAlign w:val="center"/>
                </w:tcPr>
                <w:p w14:paraId="3207DD6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auto"/>
                      <w:sz w:val="21"/>
                      <w:szCs w:val="21"/>
                      <w:lang w:eastAsia="zh-CN"/>
                    </w:rPr>
                  </w:pPr>
                  <w:r>
                    <w:rPr>
                      <w:rFonts w:hint="eastAsia" w:cs="Times New Roman"/>
                      <w:bCs/>
                      <w:color w:val="auto"/>
                      <w:sz w:val="21"/>
                      <w:szCs w:val="21"/>
                      <w:lang w:val="en-US" w:eastAsia="zh-CN"/>
                    </w:rPr>
                    <w:t>/</w:t>
                  </w:r>
                </w:p>
              </w:tc>
            </w:tr>
            <w:tr w14:paraId="533F7F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 w:type="pct"/>
                  <w:vMerge w:val="continue"/>
                  <w:vAlign w:val="center"/>
                </w:tcPr>
                <w:p w14:paraId="6D6794E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516" w:type="pct"/>
                  <w:vMerge w:val="continue"/>
                  <w:vAlign w:val="center"/>
                </w:tcPr>
                <w:p w14:paraId="1A5BF57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754" w:type="pct"/>
                  <w:vMerge w:val="continue"/>
                  <w:vAlign w:val="center"/>
                </w:tcPr>
                <w:p w14:paraId="6380859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671" w:type="pct"/>
                  <w:vMerge w:val="continue"/>
                  <w:vAlign w:val="center"/>
                </w:tcPr>
                <w:p w14:paraId="1CD8548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432" w:type="pct"/>
                  <w:vMerge w:val="continue"/>
                  <w:vAlign w:val="center"/>
                </w:tcPr>
                <w:p w14:paraId="56888A0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496" w:type="pct"/>
                  <w:vMerge w:val="continue"/>
                  <w:vAlign w:val="center"/>
                </w:tcPr>
                <w:p w14:paraId="4512527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212" w:type="pct"/>
                  <w:vMerge w:val="continue"/>
                  <w:vAlign w:val="center"/>
                </w:tcPr>
                <w:p w14:paraId="1319737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377" w:type="pct"/>
                  <w:vMerge w:val="continue"/>
                  <w:vAlign w:val="center"/>
                </w:tcPr>
                <w:p w14:paraId="5BC56B2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509" w:type="pct"/>
                  <w:vAlign w:val="center"/>
                </w:tcPr>
                <w:p w14:paraId="4E9AE59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sz w:val="21"/>
                      <w:szCs w:val="21"/>
                    </w:rPr>
                    <w:t>COD</w:t>
                  </w:r>
                </w:p>
              </w:tc>
              <w:tc>
                <w:tcPr>
                  <w:tcW w:w="820" w:type="pct"/>
                  <w:vAlign w:val="center"/>
                </w:tcPr>
                <w:p w14:paraId="1E1C862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5</w:t>
                  </w:r>
                  <w:r>
                    <w:rPr>
                      <w:rFonts w:hint="default" w:ascii="Times New Roman" w:hAnsi="Times New Roman" w:eastAsia="宋体" w:cs="Times New Roman"/>
                      <w:bCs/>
                      <w:color w:val="auto"/>
                      <w:sz w:val="21"/>
                      <w:szCs w:val="21"/>
                    </w:rPr>
                    <w:t>0</w:t>
                  </w:r>
                  <w:r>
                    <w:rPr>
                      <w:rFonts w:hint="default" w:ascii="Times New Roman" w:hAnsi="Times New Roman" w:eastAsia="宋体" w:cs="Times New Roman"/>
                      <w:color w:val="auto"/>
                      <w:sz w:val="21"/>
                      <w:szCs w:val="21"/>
                    </w:rPr>
                    <w:t>（mg/L）</w:t>
                  </w:r>
                </w:p>
              </w:tc>
            </w:tr>
            <w:tr w14:paraId="2E6E3B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 w:type="pct"/>
                  <w:vMerge w:val="continue"/>
                  <w:vAlign w:val="center"/>
                </w:tcPr>
                <w:p w14:paraId="24DAC2C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516" w:type="pct"/>
                  <w:vMerge w:val="continue"/>
                  <w:vAlign w:val="center"/>
                </w:tcPr>
                <w:p w14:paraId="4DEC5E2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754" w:type="pct"/>
                  <w:vMerge w:val="continue"/>
                  <w:vAlign w:val="center"/>
                </w:tcPr>
                <w:p w14:paraId="35B2F18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671" w:type="pct"/>
                  <w:vMerge w:val="continue"/>
                  <w:vAlign w:val="center"/>
                </w:tcPr>
                <w:p w14:paraId="2557309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432" w:type="pct"/>
                  <w:vMerge w:val="continue"/>
                  <w:vAlign w:val="center"/>
                </w:tcPr>
                <w:p w14:paraId="51324A4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496" w:type="pct"/>
                  <w:vMerge w:val="continue"/>
                  <w:vAlign w:val="center"/>
                </w:tcPr>
                <w:p w14:paraId="396342C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212" w:type="pct"/>
                  <w:vMerge w:val="continue"/>
                  <w:vAlign w:val="center"/>
                </w:tcPr>
                <w:p w14:paraId="7D49721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377" w:type="pct"/>
                  <w:vMerge w:val="continue"/>
                  <w:vAlign w:val="center"/>
                </w:tcPr>
                <w:p w14:paraId="3FF87C1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509" w:type="pct"/>
                  <w:vAlign w:val="center"/>
                </w:tcPr>
                <w:p w14:paraId="3094EC4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sz w:val="21"/>
                      <w:szCs w:val="21"/>
                    </w:rPr>
                    <w:t>BOD</w:t>
                  </w:r>
                  <w:r>
                    <w:rPr>
                      <w:rFonts w:hint="default" w:ascii="Times New Roman" w:hAnsi="Times New Roman" w:eastAsia="宋体" w:cs="Times New Roman"/>
                      <w:color w:val="auto"/>
                      <w:sz w:val="21"/>
                      <w:szCs w:val="21"/>
                      <w:vertAlign w:val="subscript"/>
                    </w:rPr>
                    <w:t>5</w:t>
                  </w:r>
                </w:p>
              </w:tc>
              <w:tc>
                <w:tcPr>
                  <w:tcW w:w="820" w:type="pct"/>
                  <w:vAlign w:val="center"/>
                </w:tcPr>
                <w:p w14:paraId="4AF2888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10</w:t>
                  </w:r>
                  <w:r>
                    <w:rPr>
                      <w:rFonts w:hint="default" w:ascii="Times New Roman" w:hAnsi="Times New Roman" w:eastAsia="宋体" w:cs="Times New Roman"/>
                      <w:color w:val="auto"/>
                      <w:sz w:val="21"/>
                      <w:szCs w:val="21"/>
                    </w:rPr>
                    <w:t>（mg/L）</w:t>
                  </w:r>
                </w:p>
              </w:tc>
            </w:tr>
            <w:tr w14:paraId="6A99CB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 w:type="pct"/>
                  <w:vMerge w:val="continue"/>
                  <w:vAlign w:val="center"/>
                </w:tcPr>
                <w:p w14:paraId="0E94481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516" w:type="pct"/>
                  <w:vMerge w:val="continue"/>
                  <w:vAlign w:val="center"/>
                </w:tcPr>
                <w:p w14:paraId="2F8622C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754" w:type="pct"/>
                  <w:vMerge w:val="continue"/>
                  <w:vAlign w:val="center"/>
                </w:tcPr>
                <w:p w14:paraId="4C0D635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671" w:type="pct"/>
                  <w:vMerge w:val="continue"/>
                  <w:vAlign w:val="center"/>
                </w:tcPr>
                <w:p w14:paraId="3AE4B9F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432" w:type="pct"/>
                  <w:vMerge w:val="continue"/>
                  <w:vAlign w:val="center"/>
                </w:tcPr>
                <w:p w14:paraId="1EB752C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496" w:type="pct"/>
                  <w:vMerge w:val="continue"/>
                  <w:vAlign w:val="center"/>
                </w:tcPr>
                <w:p w14:paraId="0E8490E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212" w:type="pct"/>
                  <w:vMerge w:val="continue"/>
                  <w:vAlign w:val="center"/>
                </w:tcPr>
                <w:p w14:paraId="5659FE1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377" w:type="pct"/>
                  <w:vMerge w:val="continue"/>
                  <w:vAlign w:val="center"/>
                </w:tcPr>
                <w:p w14:paraId="5688384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509" w:type="pct"/>
                  <w:vAlign w:val="center"/>
                </w:tcPr>
                <w:p w14:paraId="7A82701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sz w:val="21"/>
                      <w:szCs w:val="21"/>
                    </w:rPr>
                    <w:t>悬浮物</w:t>
                  </w:r>
                </w:p>
              </w:tc>
              <w:tc>
                <w:tcPr>
                  <w:tcW w:w="820" w:type="pct"/>
                  <w:vAlign w:val="center"/>
                </w:tcPr>
                <w:p w14:paraId="4AD81D1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10</w:t>
                  </w:r>
                  <w:r>
                    <w:rPr>
                      <w:rFonts w:hint="default" w:ascii="Times New Roman" w:hAnsi="Times New Roman" w:eastAsia="宋体" w:cs="Times New Roman"/>
                      <w:color w:val="auto"/>
                      <w:sz w:val="21"/>
                      <w:szCs w:val="21"/>
                    </w:rPr>
                    <w:t>（mg/L）</w:t>
                  </w:r>
                </w:p>
              </w:tc>
            </w:tr>
            <w:tr w14:paraId="6CE934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 w:type="pct"/>
                  <w:vMerge w:val="continue"/>
                  <w:vAlign w:val="center"/>
                </w:tcPr>
                <w:p w14:paraId="705A721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516" w:type="pct"/>
                  <w:vMerge w:val="continue"/>
                  <w:vAlign w:val="center"/>
                </w:tcPr>
                <w:p w14:paraId="0042B5B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754" w:type="pct"/>
                  <w:vMerge w:val="continue"/>
                  <w:vAlign w:val="center"/>
                </w:tcPr>
                <w:p w14:paraId="77F52E8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671" w:type="pct"/>
                  <w:vMerge w:val="continue"/>
                  <w:vAlign w:val="center"/>
                </w:tcPr>
                <w:p w14:paraId="005FB97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432" w:type="pct"/>
                  <w:vMerge w:val="continue"/>
                  <w:vAlign w:val="center"/>
                </w:tcPr>
                <w:p w14:paraId="6EC19F5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496" w:type="pct"/>
                  <w:vMerge w:val="continue"/>
                  <w:vAlign w:val="center"/>
                </w:tcPr>
                <w:p w14:paraId="07E2828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212" w:type="pct"/>
                  <w:vMerge w:val="continue"/>
                  <w:vAlign w:val="center"/>
                </w:tcPr>
                <w:p w14:paraId="644BF54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377" w:type="pct"/>
                  <w:vMerge w:val="continue"/>
                  <w:vAlign w:val="center"/>
                </w:tcPr>
                <w:p w14:paraId="1DADD11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509" w:type="pct"/>
                  <w:vAlign w:val="center"/>
                </w:tcPr>
                <w:p w14:paraId="173FE6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sz w:val="21"/>
                      <w:szCs w:val="21"/>
                      <w:highlight w:val="none"/>
                      <w:lang w:val="en-US" w:eastAsia="zh-CN"/>
                    </w:rPr>
                    <w:t>氨氮</w:t>
                  </w:r>
                </w:p>
              </w:tc>
              <w:tc>
                <w:tcPr>
                  <w:tcW w:w="820" w:type="pct"/>
                  <w:vAlign w:val="center"/>
                </w:tcPr>
                <w:p w14:paraId="09EC3C2D">
                  <w:pPr>
                    <w:keepNext w:val="0"/>
                    <w:keepLines w:val="0"/>
                    <w:pageBreakBefore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 w:val="0"/>
                      <w:bCs/>
                      <w:color w:val="auto"/>
                      <w:sz w:val="21"/>
                      <w:szCs w:val="21"/>
                      <w:highlight w:val="none"/>
                      <w:lang w:val="en-US" w:eastAsia="zh-CN"/>
                    </w:rPr>
                    <w:t>5（8）</w:t>
                  </w:r>
                  <w:r>
                    <w:rPr>
                      <w:rFonts w:hint="default" w:ascii="Times New Roman" w:hAnsi="Times New Roman" w:eastAsia="宋体" w:cs="Times New Roman"/>
                      <w:b w:val="0"/>
                      <w:bCs w:val="0"/>
                      <w:color w:val="auto"/>
                      <w:sz w:val="21"/>
                      <w:szCs w:val="21"/>
                      <w:highlight w:val="none"/>
                    </w:rPr>
                    <w:t>（</w:t>
                  </w:r>
                  <w:r>
                    <w:rPr>
                      <w:rFonts w:hint="default" w:ascii="Times New Roman" w:hAnsi="Times New Roman" w:eastAsia="宋体" w:cs="Times New Roman"/>
                      <w:b w:val="0"/>
                      <w:bCs w:val="0"/>
                      <w:color w:val="auto"/>
                      <w:sz w:val="21"/>
                      <w:szCs w:val="21"/>
                      <w:highlight w:val="none"/>
                      <w:lang w:val="en-US" w:eastAsia="zh-CN"/>
                    </w:rPr>
                    <w:t>mg/L</w:t>
                  </w:r>
                  <w:r>
                    <w:rPr>
                      <w:rFonts w:hint="default" w:ascii="Times New Roman" w:hAnsi="Times New Roman" w:eastAsia="宋体" w:cs="Times New Roman"/>
                      <w:b w:val="0"/>
                      <w:bCs w:val="0"/>
                      <w:color w:val="auto"/>
                      <w:sz w:val="21"/>
                      <w:szCs w:val="21"/>
                      <w:highlight w:val="none"/>
                    </w:rPr>
                    <w:t>）</w:t>
                  </w:r>
                </w:p>
              </w:tc>
            </w:tr>
            <w:tr w14:paraId="1C76D3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 w:type="pct"/>
                  <w:vMerge w:val="continue"/>
                  <w:vAlign w:val="center"/>
                </w:tcPr>
                <w:p w14:paraId="3483460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516" w:type="pct"/>
                  <w:vMerge w:val="continue"/>
                  <w:vAlign w:val="center"/>
                </w:tcPr>
                <w:p w14:paraId="1EA2E7B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754" w:type="pct"/>
                  <w:vMerge w:val="continue"/>
                  <w:vAlign w:val="center"/>
                </w:tcPr>
                <w:p w14:paraId="175F8B4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671" w:type="pct"/>
                  <w:vMerge w:val="continue"/>
                  <w:vAlign w:val="center"/>
                </w:tcPr>
                <w:p w14:paraId="45CDE00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432" w:type="pct"/>
                  <w:vMerge w:val="continue"/>
                  <w:vAlign w:val="center"/>
                </w:tcPr>
                <w:p w14:paraId="5B8640A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496" w:type="pct"/>
                  <w:vMerge w:val="continue"/>
                  <w:vAlign w:val="center"/>
                </w:tcPr>
                <w:p w14:paraId="776C5DB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212" w:type="pct"/>
                  <w:vMerge w:val="continue"/>
                  <w:vAlign w:val="center"/>
                </w:tcPr>
                <w:p w14:paraId="416DBE2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377" w:type="pct"/>
                  <w:vMerge w:val="continue"/>
                  <w:vAlign w:val="center"/>
                </w:tcPr>
                <w:p w14:paraId="697C7F0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509" w:type="pct"/>
                  <w:vAlign w:val="center"/>
                </w:tcPr>
                <w:p w14:paraId="4447C54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总氮</w:t>
                  </w:r>
                </w:p>
              </w:tc>
              <w:tc>
                <w:tcPr>
                  <w:tcW w:w="820" w:type="pct"/>
                  <w:vAlign w:val="center"/>
                </w:tcPr>
                <w:p w14:paraId="17B43E3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r>
                    <w:rPr>
                      <w:rFonts w:hint="default" w:ascii="Times New Roman" w:hAnsi="Times New Roman" w:eastAsia="宋体" w:cs="Times New Roman"/>
                      <w:color w:val="auto"/>
                      <w:sz w:val="21"/>
                      <w:szCs w:val="21"/>
                    </w:rPr>
                    <w:t>（mg/L）</w:t>
                  </w:r>
                </w:p>
              </w:tc>
            </w:tr>
            <w:tr w14:paraId="4A16BD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 w:type="pct"/>
                  <w:vMerge w:val="continue"/>
                  <w:vAlign w:val="center"/>
                </w:tcPr>
                <w:p w14:paraId="0D9A24E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516" w:type="pct"/>
                  <w:vMerge w:val="continue"/>
                  <w:vAlign w:val="center"/>
                </w:tcPr>
                <w:p w14:paraId="382C6FC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754" w:type="pct"/>
                  <w:vMerge w:val="continue"/>
                  <w:vAlign w:val="center"/>
                </w:tcPr>
                <w:p w14:paraId="32328D5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671" w:type="pct"/>
                  <w:vMerge w:val="continue"/>
                  <w:vAlign w:val="center"/>
                </w:tcPr>
                <w:p w14:paraId="2B0721D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432" w:type="pct"/>
                  <w:vMerge w:val="continue"/>
                  <w:vAlign w:val="center"/>
                </w:tcPr>
                <w:p w14:paraId="127A79C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496" w:type="pct"/>
                  <w:vMerge w:val="continue"/>
                  <w:vAlign w:val="center"/>
                </w:tcPr>
                <w:p w14:paraId="3D84FFC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212" w:type="pct"/>
                  <w:vMerge w:val="continue"/>
                  <w:vAlign w:val="center"/>
                </w:tcPr>
                <w:p w14:paraId="0029120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377" w:type="pct"/>
                  <w:vMerge w:val="continue"/>
                  <w:vAlign w:val="center"/>
                </w:tcPr>
                <w:p w14:paraId="57766B5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color w:val="auto"/>
                      <w:sz w:val="21"/>
                      <w:szCs w:val="21"/>
                    </w:rPr>
                  </w:pPr>
                </w:p>
              </w:tc>
              <w:tc>
                <w:tcPr>
                  <w:tcW w:w="509" w:type="pct"/>
                  <w:vAlign w:val="center"/>
                </w:tcPr>
                <w:p w14:paraId="0ED4F79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总磷</w:t>
                  </w:r>
                </w:p>
              </w:tc>
              <w:tc>
                <w:tcPr>
                  <w:tcW w:w="820" w:type="pct"/>
                  <w:vAlign w:val="center"/>
                </w:tcPr>
                <w:p w14:paraId="26EE5CE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0.</w:t>
                  </w: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mg/L</w:t>
                  </w:r>
                  <w:r>
                    <w:rPr>
                      <w:rFonts w:hint="default" w:ascii="Times New Roman" w:hAnsi="Times New Roman" w:eastAsia="宋体" w:cs="Times New Roman"/>
                      <w:color w:val="auto"/>
                      <w:sz w:val="21"/>
                      <w:szCs w:val="21"/>
                    </w:rPr>
                    <w:t>）</w:t>
                  </w:r>
                </w:p>
              </w:tc>
            </w:tr>
          </w:tbl>
          <w:p w14:paraId="475508B9">
            <w:pPr>
              <w:spacing w:line="360" w:lineRule="auto"/>
              <w:ind w:firstLine="482" w:firstLineChars="200"/>
              <w:rPr>
                <w:b/>
                <w:color w:val="auto"/>
                <w:sz w:val="24"/>
                <w:szCs w:val="27"/>
              </w:rPr>
            </w:pPr>
            <w:r>
              <w:rPr>
                <w:rFonts w:hint="eastAsia"/>
                <w:b/>
                <w:color w:val="auto"/>
                <w:sz w:val="24"/>
                <w:szCs w:val="27"/>
              </w:rPr>
              <w:t>4.</w:t>
            </w:r>
            <w:r>
              <w:rPr>
                <w:rFonts w:hint="eastAsia"/>
                <w:b/>
                <w:color w:val="auto"/>
                <w:sz w:val="24"/>
                <w:szCs w:val="27"/>
                <w:lang w:val="en-US" w:eastAsia="zh-CN"/>
              </w:rPr>
              <w:t>3</w:t>
            </w:r>
            <w:r>
              <w:rPr>
                <w:rFonts w:hint="eastAsia"/>
                <w:b/>
                <w:color w:val="auto"/>
                <w:sz w:val="24"/>
                <w:szCs w:val="27"/>
              </w:rPr>
              <w:t>.3废水治理措施</w:t>
            </w:r>
            <w:r>
              <w:rPr>
                <w:rFonts w:hint="eastAsia"/>
                <w:b/>
                <w:color w:val="auto"/>
                <w:sz w:val="24"/>
                <w:szCs w:val="27"/>
                <w:lang w:eastAsia="zh-CN"/>
              </w:rPr>
              <w:t>依托可行</w:t>
            </w:r>
            <w:r>
              <w:rPr>
                <w:rFonts w:hint="eastAsia"/>
                <w:b/>
                <w:color w:val="auto"/>
                <w:sz w:val="24"/>
                <w:szCs w:val="27"/>
              </w:rPr>
              <w:t>性分析</w:t>
            </w:r>
          </w:p>
          <w:p w14:paraId="06E9E004">
            <w:pPr>
              <w:spacing w:line="360" w:lineRule="auto"/>
              <w:ind w:firstLine="482" w:firstLineChars="200"/>
              <w:rPr>
                <w:b/>
                <w:bCs/>
                <w:color w:val="auto"/>
                <w:sz w:val="24"/>
              </w:rPr>
            </w:pPr>
            <w:r>
              <w:rPr>
                <w:rFonts w:hint="eastAsia"/>
                <w:b/>
                <w:bCs/>
                <w:color w:val="auto"/>
                <w:sz w:val="24"/>
              </w:rPr>
              <w:t>（1）</w:t>
            </w:r>
            <w:bookmarkStart w:id="43" w:name="OLE_LINK495"/>
            <w:r>
              <w:rPr>
                <w:rFonts w:hint="eastAsia"/>
                <w:b/>
                <w:bCs/>
                <w:color w:val="auto"/>
                <w:sz w:val="24"/>
                <w:lang w:eastAsia="zh-CN"/>
              </w:rPr>
              <w:t>化粪池依托可行性</w:t>
            </w:r>
            <w:r>
              <w:rPr>
                <w:rFonts w:hint="eastAsia"/>
                <w:b/>
                <w:bCs/>
                <w:color w:val="auto"/>
                <w:sz w:val="24"/>
              </w:rPr>
              <w:t>分析</w:t>
            </w:r>
            <w:bookmarkEnd w:id="43"/>
          </w:p>
          <w:p w14:paraId="7E8A41CF">
            <w:pPr>
              <w:pStyle w:val="66"/>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b w:val="0"/>
                <w:bCs w:val="0"/>
                <w:color w:val="auto"/>
                <w:sz w:val="24"/>
                <w:szCs w:val="24"/>
                <w:highlight w:val="none"/>
              </w:rPr>
            </w:pPr>
            <w:r>
              <w:rPr>
                <w:rFonts w:hint="default" w:ascii="Times New Roman" w:hAnsi="Times New Roman" w:eastAsia="宋体" w:cs="Times New Roman"/>
                <w:color w:val="auto"/>
                <w:sz w:val="24"/>
              </w:rPr>
              <w:t>本项目生活污水</w:t>
            </w:r>
            <w:r>
              <w:rPr>
                <w:rFonts w:hint="default" w:ascii="Times New Roman" w:hAnsi="Times New Roman" w:eastAsia="宋体" w:cs="Times New Roman"/>
                <w:color w:val="auto"/>
                <w:sz w:val="24"/>
                <w:lang w:eastAsia="zh-CN"/>
              </w:rPr>
              <w:t>排</w:t>
            </w:r>
            <w:r>
              <w:rPr>
                <w:rFonts w:hint="default" w:ascii="Times New Roman" w:hAnsi="Times New Roman" w:eastAsia="宋体" w:cs="Times New Roman"/>
                <w:color w:val="auto"/>
                <w:lang w:eastAsia="zh-CN"/>
              </w:rPr>
              <w:t>放</w:t>
            </w:r>
            <w:r>
              <w:rPr>
                <w:rFonts w:hint="default" w:ascii="Times New Roman" w:hAnsi="Times New Roman" w:eastAsia="宋体" w:cs="Times New Roman"/>
                <w:color w:val="auto"/>
              </w:rPr>
              <w:t>量为</w:t>
            </w:r>
            <w:r>
              <w:rPr>
                <w:rFonts w:hint="eastAsia" w:cs="Times New Roman"/>
                <w:color w:val="auto"/>
                <w:lang w:val="en-US" w:eastAsia="zh-CN"/>
              </w:rPr>
              <w:t>216</w:t>
            </w: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/a</w:t>
            </w:r>
            <w:r>
              <w:rPr>
                <w:rFonts w:hint="eastAsia" w:ascii="Times New Roman" w:hAnsi="Times New Roman" w:eastAsia="宋体" w:cs="Times New Roman"/>
                <w:color w:val="auto"/>
                <w:lang w:eastAsia="zh-CN"/>
              </w:rPr>
              <w:t>，主要污染物是COD、BOD</w:t>
            </w:r>
            <w:r>
              <w:rPr>
                <w:rFonts w:hint="eastAsia" w:ascii="Times New Roman" w:hAnsi="Times New Roman" w:eastAsia="宋体" w:cs="Times New Roman"/>
                <w:color w:val="auto"/>
                <w:vertAlign w:val="subscript"/>
                <w:lang w:eastAsia="zh-CN"/>
              </w:rPr>
              <w:t>5</w:t>
            </w:r>
            <w:r>
              <w:rPr>
                <w:rFonts w:hint="eastAsia" w:ascii="Times New Roman" w:hAnsi="Times New Roman" w:eastAsia="宋体" w:cs="Times New Roman"/>
                <w:color w:val="auto"/>
                <w:lang w:eastAsia="zh-CN"/>
              </w:rPr>
              <w:t>、SS、氨氮等，</w:t>
            </w:r>
            <w:r>
              <w:rPr>
                <w:rFonts w:hint="eastAsia" w:cs="Times New Roman"/>
                <w:color w:val="auto"/>
                <w:sz w:val="24"/>
                <w:szCs w:val="24"/>
                <w:lang w:val="en-US" w:eastAsia="zh-CN"/>
              </w:rPr>
              <w:t>排入化粪池处理后，</w:t>
            </w:r>
            <w:r>
              <w:rPr>
                <w:rFonts w:hint="eastAsia" w:ascii="Times New Roman" w:hAnsi="Times New Roman" w:eastAsia="宋体" w:cs="Times New Roman"/>
                <w:color w:val="auto"/>
                <w:sz w:val="24"/>
                <w:szCs w:val="24"/>
                <w:lang w:val="en-US" w:eastAsia="zh-CN"/>
              </w:rPr>
              <w:t>通过</w:t>
            </w:r>
            <w:r>
              <w:rPr>
                <w:rFonts w:hint="eastAsia"/>
                <w:color w:val="auto"/>
                <w:sz w:val="24"/>
              </w:rPr>
              <w:t>污水管网最终排至</w:t>
            </w:r>
            <w:r>
              <w:rPr>
                <w:rFonts w:hint="eastAsia"/>
                <w:color w:val="auto"/>
                <w:sz w:val="24"/>
                <w:lang w:eastAsia="zh-CN"/>
              </w:rPr>
              <w:t>佛坪县污水处理厂</w:t>
            </w:r>
            <w:r>
              <w:rPr>
                <w:rFonts w:hint="eastAsia" w:ascii="Times New Roman" w:hAnsi="Times New Roman" w:eastAsia="宋体" w:cs="Times New Roman"/>
                <w:color w:val="auto"/>
                <w:sz w:val="24"/>
                <w:szCs w:val="24"/>
                <w:lang w:val="en-US" w:eastAsia="zh-CN"/>
              </w:rPr>
              <w:t>处理</w:t>
            </w:r>
            <w:r>
              <w:rPr>
                <w:rFonts w:hint="eastAsia"/>
                <w:color w:val="auto"/>
                <w:sz w:val="24"/>
                <w:lang w:eastAsia="zh-CN"/>
              </w:rPr>
              <w:t>。根据现场调查，</w:t>
            </w:r>
            <w:r>
              <w:rPr>
                <w:rFonts w:hint="eastAsia" w:cs="Times New Roman"/>
                <w:color w:val="auto"/>
                <w:lang w:eastAsia="zh-CN"/>
              </w:rPr>
              <w:t>企业</w:t>
            </w:r>
            <w:r>
              <w:rPr>
                <w:rFonts w:hint="default" w:ascii="Times New Roman" w:hAnsi="Times New Roman" w:eastAsia="宋体" w:cs="Times New Roman"/>
                <w:color w:val="auto"/>
              </w:rPr>
              <w:t>已建化粪池容积</w:t>
            </w:r>
            <w:r>
              <w:rPr>
                <w:rFonts w:hint="eastAsia" w:ascii="Times New Roman" w:hAnsi="Times New Roman" w:eastAsia="宋体" w:cs="Times New Roman"/>
                <w:color w:val="auto"/>
                <w:lang w:eastAsia="zh-CN"/>
              </w:rPr>
              <w:t>为</w:t>
            </w:r>
            <w:r>
              <w:rPr>
                <w:rFonts w:hint="eastAsia" w:ascii="Times New Roman" w:hAnsi="Times New Roman" w:eastAsia="宋体" w:cs="Times New Roman"/>
                <w:color w:val="auto"/>
                <w:lang w:val="en-US" w:eastAsia="zh-CN"/>
              </w:rPr>
              <w:t>20</w:t>
            </w: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，容量足够接纳处理本项目的生活污水。本项目生活污水</w:t>
            </w:r>
            <w:r>
              <w:rPr>
                <w:rFonts w:hint="eastAsia" w:ascii="Times New Roman" w:hAnsi="Times New Roman" w:eastAsia="宋体"/>
                <w:b w:val="0"/>
                <w:bCs w:val="0"/>
                <w:color w:val="auto"/>
                <w:sz w:val="24"/>
                <w:szCs w:val="24"/>
                <w:highlight w:val="none"/>
                <w:lang w:val="en-US" w:eastAsia="zh-CN"/>
              </w:rPr>
              <w:t>进入化粪池污水设计水力停留时间为24h，满足水力停留时间要求，因此本项目废水依托</w:t>
            </w:r>
            <w:r>
              <w:rPr>
                <w:rFonts w:hint="eastAsia" w:ascii="Times New Roman" w:hAnsi="Times New Roman" w:eastAsia="宋体"/>
                <w:color w:val="auto"/>
                <w:highlight w:val="none"/>
                <w:lang w:val="en-US" w:eastAsia="zh-CN"/>
              </w:rPr>
              <w:t>已建</w:t>
            </w:r>
            <w:r>
              <w:rPr>
                <w:rFonts w:hint="eastAsia" w:ascii="Times New Roman" w:hAnsi="Times New Roman" w:eastAsia="宋体"/>
                <w:b w:val="0"/>
                <w:bCs w:val="0"/>
                <w:color w:val="auto"/>
                <w:sz w:val="24"/>
                <w:szCs w:val="24"/>
                <w:highlight w:val="none"/>
                <w:lang w:val="en-US" w:eastAsia="zh-CN"/>
              </w:rPr>
              <w:t>化粪池可行。</w:t>
            </w:r>
          </w:p>
          <w:p w14:paraId="2E6F8D35">
            <w:pPr>
              <w:spacing w:line="360" w:lineRule="auto"/>
              <w:ind w:firstLine="482" w:firstLineChars="200"/>
              <w:rPr>
                <w:b/>
                <w:bCs/>
                <w:color w:val="auto"/>
                <w:sz w:val="24"/>
              </w:rPr>
            </w:pPr>
            <w:r>
              <w:rPr>
                <w:rFonts w:hint="eastAsia"/>
                <w:b/>
                <w:bCs/>
                <w:color w:val="auto"/>
                <w:sz w:val="24"/>
              </w:rPr>
              <w:t>（</w:t>
            </w:r>
            <w:r>
              <w:rPr>
                <w:rFonts w:hint="eastAsia"/>
                <w:b/>
                <w:bCs/>
                <w:color w:val="auto"/>
                <w:sz w:val="24"/>
                <w:lang w:val="en-US" w:eastAsia="zh-CN"/>
              </w:rPr>
              <w:t>2</w:t>
            </w:r>
            <w:r>
              <w:rPr>
                <w:rFonts w:hint="eastAsia"/>
                <w:b/>
                <w:bCs/>
                <w:color w:val="auto"/>
                <w:sz w:val="24"/>
              </w:rPr>
              <w:t>）依托污水处理厂可行性分析</w:t>
            </w:r>
          </w:p>
          <w:p w14:paraId="1B5542AF">
            <w:pPr>
              <w:spacing w:line="360" w:lineRule="auto"/>
              <w:ind w:firstLine="480" w:firstLineChars="200"/>
              <w:rPr>
                <w:color w:val="auto"/>
                <w:sz w:val="24"/>
                <w:highlight w:val="yellow"/>
              </w:rPr>
            </w:pPr>
            <w:r>
              <w:rPr>
                <w:rFonts w:hint="eastAsia"/>
                <w:color w:val="auto"/>
                <w:sz w:val="24"/>
                <w:lang w:eastAsia="zh-CN"/>
              </w:rPr>
              <w:t>佛坪县污水处理厂位于佛坪县袁家庄镇东岳殿村7组，总占地面积约为4800平方米，设计日处理生活污水4000吨，处理工艺：污水处理采用CASS工艺，污水经粗、污水提升泵房、细格栅进入旋流沉砂池后进入CASS反应池处理，经二氧化氯消毒后外</w:t>
            </w:r>
            <w:r>
              <w:rPr>
                <w:rFonts w:hint="eastAsia"/>
                <w:color w:val="auto"/>
                <w:sz w:val="24"/>
                <w:highlight w:val="none"/>
                <w:lang w:eastAsia="zh-CN"/>
              </w:rPr>
              <w:t>排。出水标准：出水水质达到《城镇污水处理厂污染物排放标准》(GB18918-2002)一级A标准后排入椒溪河。</w:t>
            </w:r>
            <w:r>
              <w:rPr>
                <w:rFonts w:hint="eastAsia"/>
                <w:color w:val="auto"/>
                <w:sz w:val="24"/>
                <w:highlight w:val="none"/>
              </w:rPr>
              <w:t>目前污水处理厂实际处理量为</w:t>
            </w:r>
            <w:r>
              <w:rPr>
                <w:rFonts w:hint="eastAsia"/>
                <w:color w:val="auto"/>
                <w:sz w:val="24"/>
                <w:highlight w:val="none"/>
                <w:lang w:val="en-US" w:eastAsia="zh-CN"/>
              </w:rPr>
              <w:t>3400t/</w:t>
            </w:r>
            <w:r>
              <w:rPr>
                <w:rFonts w:hint="eastAsia"/>
                <w:color w:val="auto"/>
                <w:sz w:val="24"/>
                <w:highlight w:val="none"/>
              </w:rPr>
              <w:t>d，尚富余</w:t>
            </w:r>
            <w:r>
              <w:rPr>
                <w:rFonts w:hint="eastAsia"/>
                <w:color w:val="auto"/>
                <w:sz w:val="24"/>
                <w:highlight w:val="none"/>
                <w:lang w:val="en-US" w:eastAsia="zh-CN"/>
              </w:rPr>
              <w:t>600</w:t>
            </w:r>
            <w:r>
              <w:rPr>
                <w:rFonts w:hint="eastAsia"/>
                <w:color w:val="auto"/>
                <w:sz w:val="24"/>
                <w:highlight w:val="none"/>
              </w:rPr>
              <w:t>t/d的处理能力。</w:t>
            </w:r>
          </w:p>
          <w:p w14:paraId="7674AD32">
            <w:pPr>
              <w:spacing w:line="360" w:lineRule="auto"/>
              <w:ind w:firstLine="480" w:firstLineChars="200"/>
              <w:rPr>
                <w:rFonts w:ascii="Times New Roman" w:hAnsi="Times New Roman" w:eastAsia="宋体" w:cs="Times New Roman"/>
                <w:color w:val="FF0000"/>
                <w:sz w:val="24"/>
              </w:rPr>
            </w:pPr>
            <w:r>
              <w:rPr>
                <w:color w:val="FF0000"/>
                <w:sz w:val="24"/>
                <w:highlight w:val="none"/>
              </w:rPr>
              <w:t>本项目</w:t>
            </w:r>
            <w:r>
              <w:rPr>
                <w:rFonts w:hint="eastAsia"/>
                <w:color w:val="FF0000"/>
                <w:sz w:val="24"/>
                <w:highlight w:val="none"/>
              </w:rPr>
              <w:t>处于</w:t>
            </w:r>
            <w:r>
              <w:rPr>
                <w:rFonts w:hint="eastAsia"/>
                <w:color w:val="FF0000"/>
                <w:sz w:val="24"/>
                <w:highlight w:val="none"/>
                <w:lang w:eastAsia="zh-CN"/>
              </w:rPr>
              <w:t>佛坪县污水处理厂</w:t>
            </w:r>
            <w:r>
              <w:rPr>
                <w:color w:val="FF0000"/>
                <w:sz w:val="24"/>
                <w:highlight w:val="none"/>
              </w:rPr>
              <w:t>的收水范围内</w:t>
            </w:r>
            <w:r>
              <w:rPr>
                <w:rFonts w:hint="eastAsia"/>
                <w:color w:val="FF0000"/>
                <w:sz w:val="24"/>
                <w:highlight w:val="none"/>
              </w:rPr>
              <w:t>，</w:t>
            </w:r>
            <w:r>
              <w:rPr>
                <w:rFonts w:hint="eastAsia" w:cs="宋体"/>
                <w:color w:val="FF0000"/>
                <w:kern w:val="0"/>
                <w:sz w:val="24"/>
                <w:highlight w:val="none"/>
              </w:rPr>
              <w:t>项目所在地污水管网均已</w:t>
            </w:r>
            <w:r>
              <w:rPr>
                <w:rFonts w:hint="eastAsia" w:cs="宋体"/>
                <w:color w:val="FF0000"/>
                <w:kern w:val="0"/>
                <w:sz w:val="24"/>
              </w:rPr>
              <w:t>铺设到位</w:t>
            </w:r>
            <w:r>
              <w:rPr>
                <w:rFonts w:hint="eastAsia"/>
                <w:color w:val="FF0000"/>
                <w:sz w:val="24"/>
              </w:rPr>
              <w:t>。</w:t>
            </w:r>
            <w:r>
              <w:rPr>
                <w:rFonts w:hint="eastAsia"/>
                <w:color w:val="FF0000"/>
                <w:sz w:val="24"/>
                <w:lang w:eastAsia="zh-CN"/>
              </w:rPr>
              <w:t>本项</w:t>
            </w:r>
            <w:r>
              <w:rPr>
                <w:rFonts w:hint="eastAsia"/>
                <w:color w:val="FF0000"/>
                <w:sz w:val="24"/>
                <w:highlight w:val="none"/>
                <w:lang w:eastAsia="zh-CN"/>
              </w:rPr>
              <w:t>目</w:t>
            </w:r>
            <w:r>
              <w:rPr>
                <w:rFonts w:hint="eastAsia"/>
                <w:color w:val="FF0000"/>
                <w:sz w:val="24"/>
                <w:highlight w:val="none"/>
              </w:rPr>
              <w:t>运营期</w:t>
            </w:r>
            <w:r>
              <w:rPr>
                <w:rFonts w:hint="eastAsia"/>
                <w:color w:val="FF0000"/>
                <w:sz w:val="24"/>
                <w:highlight w:val="none"/>
                <w:lang w:eastAsia="zh-CN"/>
              </w:rPr>
              <w:t>生活污水</w:t>
            </w:r>
            <w:r>
              <w:rPr>
                <w:rFonts w:hint="eastAsia" w:cs="Times New Roman"/>
                <w:color w:val="FF0000"/>
                <w:sz w:val="24"/>
                <w:szCs w:val="24"/>
                <w:highlight w:val="none"/>
                <w:lang w:val="en-US" w:eastAsia="zh-CN"/>
              </w:rPr>
              <w:t>年排放量为216m</w:t>
            </w:r>
            <w:r>
              <w:rPr>
                <w:rFonts w:hint="eastAsia" w:cs="Times New Roman"/>
                <w:color w:val="FF0000"/>
                <w:sz w:val="24"/>
                <w:szCs w:val="24"/>
                <w:highlight w:val="none"/>
                <w:vertAlign w:val="superscript"/>
                <w:lang w:val="en-US" w:eastAsia="zh-CN"/>
              </w:rPr>
              <w:t>3</w:t>
            </w:r>
            <w:r>
              <w:rPr>
                <w:rFonts w:hint="eastAsia"/>
                <w:color w:val="FF0000"/>
                <w:sz w:val="24"/>
                <w:highlight w:val="none"/>
                <w:lang w:val="en-US" w:eastAsia="zh-CN"/>
              </w:rPr>
              <w:t>/a</w:t>
            </w:r>
            <w:r>
              <w:rPr>
                <w:rFonts w:hint="eastAsia" w:cs="Times New Roman"/>
                <w:color w:val="FF0000"/>
                <w:sz w:val="24"/>
                <w:szCs w:val="24"/>
                <w:highlight w:val="none"/>
                <w:lang w:val="en-US" w:eastAsia="zh-CN"/>
              </w:rPr>
              <w:t>，日排放量约为0.8m</w:t>
            </w:r>
            <w:r>
              <w:rPr>
                <w:rFonts w:hint="eastAsia" w:cs="Times New Roman"/>
                <w:color w:val="FF0000"/>
                <w:sz w:val="24"/>
                <w:szCs w:val="24"/>
                <w:highlight w:val="none"/>
                <w:vertAlign w:val="superscript"/>
                <w:lang w:val="en-US" w:eastAsia="zh-CN"/>
              </w:rPr>
              <w:t>3</w:t>
            </w:r>
            <w:r>
              <w:rPr>
                <w:rFonts w:hint="eastAsia"/>
                <w:color w:val="FF0000"/>
                <w:sz w:val="24"/>
                <w:highlight w:val="none"/>
                <w:lang w:val="en-US" w:eastAsia="zh-CN"/>
              </w:rPr>
              <w:t>/d</w:t>
            </w:r>
            <w:r>
              <w:rPr>
                <w:rFonts w:hint="eastAsia" w:cs="Times New Roman"/>
                <w:color w:val="FF0000"/>
                <w:sz w:val="24"/>
                <w:szCs w:val="24"/>
                <w:highlight w:val="none"/>
                <w:lang w:val="en-US" w:eastAsia="zh-CN"/>
              </w:rPr>
              <w:t>，</w:t>
            </w:r>
            <w:r>
              <w:rPr>
                <w:rFonts w:hint="eastAsia"/>
                <w:color w:val="FF0000"/>
                <w:sz w:val="24"/>
                <w:highlight w:val="none"/>
              </w:rPr>
              <w:t>占污水处理厂比例较小，</w:t>
            </w:r>
            <w:r>
              <w:rPr>
                <w:color w:val="FF0000"/>
                <w:sz w:val="24"/>
                <w:highlight w:val="none"/>
              </w:rPr>
              <w:t>满足</w:t>
            </w:r>
            <w:r>
              <w:rPr>
                <w:color w:val="FF0000"/>
                <w:sz w:val="24"/>
                <w:highlight w:val="none"/>
                <w:lang w:val="zh-TW"/>
              </w:rPr>
              <w:t>《污水综合排放标准》（GB8978-1996）</w:t>
            </w:r>
            <w:r>
              <w:rPr>
                <w:rFonts w:hint="eastAsia"/>
                <w:color w:val="FF0000"/>
                <w:sz w:val="24"/>
                <w:highlight w:val="none"/>
              </w:rPr>
              <w:t>表4中三级标准</w:t>
            </w:r>
            <w:r>
              <w:rPr>
                <w:color w:val="FF0000"/>
                <w:sz w:val="24"/>
                <w:highlight w:val="none"/>
                <w:lang w:val="zh-TW"/>
              </w:rPr>
              <w:t>和《污水排入城镇下水道水质标准》（GB/T31962-2015）表</w:t>
            </w:r>
            <w:r>
              <w:rPr>
                <w:color w:val="FF0000"/>
                <w:sz w:val="24"/>
                <w:highlight w:val="none"/>
              </w:rPr>
              <w:t>1中</w:t>
            </w:r>
            <w:r>
              <w:rPr>
                <w:rFonts w:hint="eastAsia"/>
                <w:color w:val="FF0000"/>
                <w:sz w:val="24"/>
                <w:highlight w:val="none"/>
                <w:lang w:val="en-US" w:eastAsia="zh-CN"/>
              </w:rPr>
              <w:t>B</w:t>
            </w:r>
            <w:r>
              <w:rPr>
                <w:color w:val="FF0000"/>
                <w:sz w:val="24"/>
                <w:highlight w:val="none"/>
                <w:lang w:val="zh-TW"/>
              </w:rPr>
              <w:t>级标准</w:t>
            </w:r>
            <w:r>
              <w:rPr>
                <w:color w:val="FF0000"/>
                <w:sz w:val="24"/>
                <w:highlight w:val="none"/>
              </w:rPr>
              <w:t>限值要求</w:t>
            </w:r>
            <w:r>
              <w:rPr>
                <w:rFonts w:hint="eastAsia"/>
                <w:color w:val="FF0000"/>
                <w:sz w:val="24"/>
                <w:highlight w:val="none"/>
                <w:lang w:eastAsia="zh-CN"/>
              </w:rPr>
              <w:t>；</w:t>
            </w:r>
            <w:r>
              <w:rPr>
                <w:rFonts w:hint="eastAsia" w:cs="Times New Roman"/>
                <w:color w:val="FF0000"/>
                <w:sz w:val="24"/>
                <w:szCs w:val="24"/>
                <w:highlight w:val="none"/>
                <w:lang w:val="en-US" w:eastAsia="zh-CN"/>
              </w:rPr>
              <w:t>生产废水年排放量200.96m</w:t>
            </w:r>
            <w:r>
              <w:rPr>
                <w:rFonts w:hint="eastAsia" w:cs="Times New Roman"/>
                <w:color w:val="FF0000"/>
                <w:sz w:val="24"/>
                <w:szCs w:val="24"/>
                <w:highlight w:val="none"/>
                <w:vertAlign w:val="superscript"/>
                <w:lang w:val="en-US" w:eastAsia="zh-CN"/>
              </w:rPr>
              <w:t>3</w:t>
            </w:r>
            <w:r>
              <w:rPr>
                <w:rFonts w:hint="eastAsia"/>
                <w:color w:val="FF0000"/>
                <w:sz w:val="24"/>
                <w:highlight w:val="none"/>
                <w:lang w:val="en-US" w:eastAsia="zh-CN"/>
              </w:rPr>
              <w:t>/a</w:t>
            </w:r>
            <w:r>
              <w:rPr>
                <w:rFonts w:hint="eastAsia" w:cs="Times New Roman"/>
                <w:color w:val="FF0000"/>
                <w:sz w:val="24"/>
                <w:szCs w:val="24"/>
                <w:highlight w:val="none"/>
                <w:lang w:val="en-US" w:eastAsia="zh-CN"/>
              </w:rPr>
              <w:t>，日排放量约为0.74m</w:t>
            </w:r>
            <w:r>
              <w:rPr>
                <w:rFonts w:hint="eastAsia" w:cs="Times New Roman"/>
                <w:color w:val="FF0000"/>
                <w:sz w:val="24"/>
                <w:szCs w:val="24"/>
                <w:highlight w:val="none"/>
                <w:vertAlign w:val="superscript"/>
                <w:lang w:val="en-US" w:eastAsia="zh-CN"/>
              </w:rPr>
              <w:t>3</w:t>
            </w:r>
            <w:r>
              <w:rPr>
                <w:rFonts w:hint="eastAsia"/>
                <w:color w:val="FF0000"/>
                <w:sz w:val="24"/>
                <w:highlight w:val="none"/>
                <w:lang w:val="en-US" w:eastAsia="zh-CN"/>
              </w:rPr>
              <w:t>/d</w:t>
            </w:r>
            <w:r>
              <w:rPr>
                <w:rFonts w:hint="eastAsia" w:cs="Times New Roman"/>
                <w:color w:val="FF0000"/>
                <w:sz w:val="24"/>
                <w:szCs w:val="24"/>
                <w:highlight w:val="none"/>
                <w:lang w:val="en-US" w:eastAsia="zh-CN"/>
              </w:rPr>
              <w:t>，经检测符合污水处理厂进水水质要求后，通过罐车拉运至污水处理厂，</w:t>
            </w:r>
            <w:r>
              <w:rPr>
                <w:color w:val="FF0000"/>
                <w:sz w:val="24"/>
                <w:highlight w:val="none"/>
              </w:rPr>
              <w:t>对</w:t>
            </w:r>
            <w:r>
              <w:rPr>
                <w:rFonts w:hint="eastAsia"/>
                <w:color w:val="FF0000"/>
                <w:sz w:val="24"/>
                <w:highlight w:val="none"/>
                <w:lang w:eastAsia="zh-CN"/>
              </w:rPr>
              <w:t>佛坪县污水处理厂</w:t>
            </w:r>
            <w:r>
              <w:rPr>
                <w:rFonts w:hint="eastAsia" w:ascii="Times New Roman" w:hAnsi="Times New Roman" w:eastAsia="宋体" w:cs="Times New Roman"/>
                <w:color w:val="FF0000"/>
                <w:sz w:val="24"/>
                <w:highlight w:val="none"/>
              </w:rPr>
              <w:t>的处理负荷冲击较小，</w:t>
            </w:r>
            <w:r>
              <w:rPr>
                <w:rFonts w:ascii="Times New Roman" w:hAnsi="Times New Roman" w:eastAsia="宋体" w:cs="Times New Roman"/>
                <w:color w:val="FF0000"/>
                <w:sz w:val="24"/>
                <w:highlight w:val="none"/>
              </w:rPr>
              <w:t>故本项目</w:t>
            </w:r>
            <w:r>
              <w:rPr>
                <w:rFonts w:hint="eastAsia" w:cs="Times New Roman"/>
                <w:color w:val="FF0000"/>
                <w:sz w:val="24"/>
                <w:highlight w:val="none"/>
                <w:lang w:eastAsia="zh-CN"/>
              </w:rPr>
              <w:t>废水</w:t>
            </w:r>
            <w:r>
              <w:rPr>
                <w:rFonts w:ascii="Times New Roman" w:hAnsi="Times New Roman" w:eastAsia="宋体" w:cs="Times New Roman"/>
                <w:color w:val="FF0000"/>
                <w:sz w:val="24"/>
                <w:highlight w:val="none"/>
              </w:rPr>
              <w:t>依托</w:t>
            </w:r>
            <w:r>
              <w:rPr>
                <w:rFonts w:hint="eastAsia" w:cs="Times New Roman"/>
                <w:color w:val="FF0000"/>
                <w:sz w:val="24"/>
                <w:highlight w:val="none"/>
                <w:lang w:eastAsia="zh-CN"/>
              </w:rPr>
              <w:t>佛坪县污水处理厂</w:t>
            </w:r>
            <w:r>
              <w:rPr>
                <w:rFonts w:ascii="Times New Roman" w:hAnsi="Times New Roman" w:eastAsia="宋体" w:cs="Times New Roman"/>
                <w:color w:val="FF0000"/>
                <w:sz w:val="24"/>
                <w:highlight w:val="none"/>
              </w:rPr>
              <w:t>处理方案可行。</w:t>
            </w:r>
          </w:p>
          <w:p w14:paraId="3D14ABB9">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综上所述，本项目采取的废水处理措施可行。</w:t>
            </w:r>
          </w:p>
          <w:p w14:paraId="5E6BB2EB">
            <w:pPr>
              <w:spacing w:line="360" w:lineRule="auto"/>
              <w:ind w:firstLine="482" w:firstLineChars="200"/>
              <w:rPr>
                <w:b/>
                <w:color w:val="auto"/>
                <w:sz w:val="24"/>
                <w:szCs w:val="27"/>
              </w:rPr>
            </w:pPr>
            <w:r>
              <w:rPr>
                <w:rFonts w:hint="eastAsia"/>
                <w:b/>
                <w:color w:val="auto"/>
                <w:sz w:val="24"/>
                <w:szCs w:val="27"/>
              </w:rPr>
              <w:t>4.</w:t>
            </w:r>
            <w:r>
              <w:rPr>
                <w:rFonts w:hint="eastAsia"/>
                <w:b/>
                <w:color w:val="auto"/>
                <w:sz w:val="24"/>
                <w:szCs w:val="27"/>
                <w:lang w:val="en-US" w:eastAsia="zh-CN"/>
              </w:rPr>
              <w:t>3</w:t>
            </w:r>
            <w:r>
              <w:rPr>
                <w:rFonts w:hint="eastAsia"/>
                <w:b/>
                <w:color w:val="auto"/>
                <w:sz w:val="24"/>
                <w:szCs w:val="27"/>
              </w:rPr>
              <w:t>.4废水自行监测计划</w:t>
            </w:r>
          </w:p>
          <w:p w14:paraId="31F3A56C">
            <w:pPr>
              <w:spacing w:line="360" w:lineRule="auto"/>
              <w:ind w:firstLine="480" w:firstLineChars="200"/>
              <w:rPr>
                <w:rFonts w:hint="eastAsia"/>
                <w:color w:val="auto"/>
                <w:sz w:val="24"/>
              </w:rPr>
            </w:pPr>
            <w:r>
              <w:rPr>
                <w:rFonts w:hint="eastAsia"/>
                <w:color w:val="auto"/>
                <w:sz w:val="24"/>
                <w:lang w:eastAsia="zh-CN"/>
              </w:rPr>
              <w:t>根据</w:t>
            </w:r>
            <w:r>
              <w:rPr>
                <w:rFonts w:hint="eastAsia"/>
                <w:color w:val="auto"/>
                <w:sz w:val="24"/>
                <w:lang w:val="en-US" w:eastAsia="zh-CN"/>
              </w:rPr>
              <w:t>《</w:t>
            </w:r>
            <w:r>
              <w:rPr>
                <w:rFonts w:hint="eastAsia"/>
                <w:color w:val="auto"/>
                <w:sz w:val="24"/>
                <w:highlight w:val="none"/>
                <w:lang w:val="en-US" w:eastAsia="zh-CN"/>
              </w:rPr>
              <w:t>排污许可证申请与核发技术规范 酒、饮料制造工业》（HJ1028-2019）、《排污单位自行监测技术指南总则》（HJ819-2017）</w:t>
            </w:r>
            <w:r>
              <w:rPr>
                <w:rFonts w:hint="eastAsia"/>
                <w:color w:val="auto"/>
                <w:sz w:val="24"/>
                <w:highlight w:val="none"/>
              </w:rPr>
              <w:t>，</w:t>
            </w:r>
            <w:r>
              <w:rPr>
                <w:rFonts w:hint="eastAsia"/>
                <w:color w:val="auto"/>
                <w:sz w:val="24"/>
                <w:highlight w:val="none"/>
                <w:lang w:eastAsia="zh-CN"/>
              </w:rPr>
              <w:t>单独排入公共污水处理系统的生活污水无需开展自行</w:t>
            </w:r>
            <w:r>
              <w:rPr>
                <w:color w:val="auto"/>
                <w:sz w:val="24"/>
                <w:highlight w:val="none"/>
              </w:rPr>
              <w:t>监测</w:t>
            </w:r>
            <w:r>
              <w:rPr>
                <w:rFonts w:hint="eastAsia"/>
                <w:color w:val="auto"/>
                <w:sz w:val="24"/>
                <w:highlight w:val="none"/>
              </w:rPr>
              <w:t>，</w:t>
            </w:r>
            <w:r>
              <w:rPr>
                <w:rFonts w:hint="eastAsia"/>
                <w:color w:val="auto"/>
                <w:sz w:val="24"/>
                <w:highlight w:val="none"/>
                <w:lang w:eastAsia="zh-CN"/>
              </w:rPr>
              <w:t>但需要说明排放去向，</w:t>
            </w:r>
            <w:r>
              <w:rPr>
                <w:rFonts w:hint="eastAsia"/>
                <w:color w:val="auto"/>
                <w:sz w:val="24"/>
                <w:highlight w:val="none"/>
              </w:rPr>
              <w:t>因此本项目不对生活污水排放口</w:t>
            </w:r>
            <w:r>
              <w:rPr>
                <w:rFonts w:hint="eastAsia"/>
                <w:color w:val="auto"/>
                <w:sz w:val="24"/>
                <w:highlight w:val="none"/>
                <w:lang w:eastAsia="zh-CN"/>
              </w:rPr>
              <w:t>制定监测计划</w:t>
            </w:r>
            <w:r>
              <w:rPr>
                <w:color w:val="auto"/>
                <w:sz w:val="24"/>
                <w:highlight w:val="none"/>
              </w:rPr>
              <w:t>。</w:t>
            </w:r>
          </w:p>
          <w:p w14:paraId="7B75D33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color w:val="auto"/>
                <w:sz w:val="24"/>
                <w:szCs w:val="27"/>
              </w:rPr>
            </w:pPr>
            <w:r>
              <w:rPr>
                <w:rFonts w:hint="eastAsia" w:ascii="Times New Roman" w:hAnsi="Times New Roman" w:eastAsia="宋体" w:cs="Times New Roman"/>
                <w:b/>
                <w:color w:val="auto"/>
                <w:sz w:val="24"/>
                <w:szCs w:val="27"/>
              </w:rPr>
              <w:t>4.</w:t>
            </w:r>
            <w:r>
              <w:rPr>
                <w:rFonts w:hint="eastAsia" w:cs="Times New Roman"/>
                <w:b/>
                <w:color w:val="auto"/>
                <w:sz w:val="24"/>
                <w:szCs w:val="27"/>
                <w:lang w:val="en-US" w:eastAsia="zh-CN"/>
              </w:rPr>
              <w:t>4</w:t>
            </w:r>
            <w:r>
              <w:rPr>
                <w:rFonts w:hint="eastAsia" w:ascii="Times New Roman" w:hAnsi="Times New Roman" w:eastAsia="宋体" w:cs="Times New Roman"/>
                <w:b/>
                <w:color w:val="auto"/>
                <w:sz w:val="24"/>
                <w:szCs w:val="27"/>
              </w:rPr>
              <w:t>运营期噪声环境影响和保护措施</w:t>
            </w:r>
          </w:p>
          <w:p w14:paraId="1CAE01D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color w:val="auto"/>
                <w:sz w:val="24"/>
                <w:szCs w:val="27"/>
              </w:rPr>
            </w:pPr>
            <w:r>
              <w:rPr>
                <w:rFonts w:hint="eastAsia" w:ascii="Times New Roman" w:hAnsi="Times New Roman" w:eastAsia="宋体" w:cs="Times New Roman"/>
                <w:b/>
                <w:color w:val="auto"/>
                <w:sz w:val="24"/>
                <w:szCs w:val="27"/>
              </w:rPr>
              <w:t>4.</w:t>
            </w:r>
            <w:r>
              <w:rPr>
                <w:rFonts w:hint="eastAsia" w:cs="Times New Roman"/>
                <w:b/>
                <w:color w:val="auto"/>
                <w:sz w:val="24"/>
                <w:szCs w:val="27"/>
                <w:lang w:val="en-US" w:eastAsia="zh-CN"/>
              </w:rPr>
              <w:t>4</w:t>
            </w:r>
            <w:r>
              <w:rPr>
                <w:rFonts w:hint="eastAsia" w:ascii="Times New Roman" w:hAnsi="Times New Roman" w:eastAsia="宋体" w:cs="Times New Roman"/>
                <w:b/>
                <w:color w:val="auto"/>
                <w:sz w:val="24"/>
                <w:szCs w:val="27"/>
              </w:rPr>
              <w:t>.1噪声源强</w:t>
            </w:r>
          </w:p>
          <w:p w14:paraId="3783560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color w:val="auto"/>
              </w:rPr>
            </w:pPr>
            <w:r>
              <w:rPr>
                <w:color w:val="auto"/>
                <w:sz w:val="24"/>
              </w:rPr>
              <w:t>根据</w:t>
            </w:r>
            <w:r>
              <w:rPr>
                <w:color w:val="auto"/>
                <w:sz w:val="24"/>
                <w:highlight w:val="none"/>
              </w:rPr>
              <w:t>建设单位提供资料</w:t>
            </w:r>
            <w:r>
              <w:rPr>
                <w:rFonts w:hint="eastAsia"/>
                <w:color w:val="auto"/>
                <w:sz w:val="24"/>
                <w:highlight w:val="none"/>
                <w:lang w:eastAsia="zh-CN"/>
              </w:rPr>
              <w:t>及现场核查</w:t>
            </w:r>
            <w:r>
              <w:rPr>
                <w:color w:val="auto"/>
                <w:sz w:val="24"/>
                <w:highlight w:val="none"/>
              </w:rPr>
              <w:t>，</w:t>
            </w:r>
            <w:r>
              <w:rPr>
                <w:rFonts w:hint="default" w:ascii="Times New Roman" w:hAnsi="Times New Roman" w:eastAsia="宋体" w:cs="Times New Roman"/>
                <w:color w:val="auto"/>
                <w:sz w:val="24"/>
                <w:szCs w:val="24"/>
                <w:highlight w:val="none"/>
                <w:lang w:eastAsia="zh-CN"/>
              </w:rPr>
              <w:t>本项目</w:t>
            </w:r>
            <w:r>
              <w:rPr>
                <w:rFonts w:hint="eastAsia" w:ascii="Times New Roman" w:hAnsi="Times New Roman" w:eastAsia="宋体" w:cs="Times New Roman"/>
                <w:color w:val="auto"/>
                <w:sz w:val="24"/>
                <w:szCs w:val="24"/>
                <w:highlight w:val="none"/>
                <w:lang w:val="en-US" w:eastAsia="zh-CN"/>
              </w:rPr>
              <w:t>所在地</w:t>
            </w:r>
            <w:r>
              <w:rPr>
                <w:rFonts w:hint="default" w:ascii="Times New Roman" w:hAnsi="Times New Roman" w:eastAsia="宋体" w:cs="Times New Roman"/>
                <w:color w:val="auto"/>
                <w:sz w:val="24"/>
                <w:szCs w:val="24"/>
                <w:highlight w:val="none"/>
                <w:lang w:eastAsia="zh-CN"/>
              </w:rPr>
              <w:t>厂界外周边50m范围内</w:t>
            </w:r>
            <w:r>
              <w:rPr>
                <w:rFonts w:hint="eastAsia" w:cs="Times New Roman"/>
                <w:color w:val="auto"/>
                <w:sz w:val="24"/>
                <w:szCs w:val="24"/>
                <w:highlight w:val="none"/>
                <w:lang w:eastAsia="zh-CN"/>
              </w:rPr>
              <w:t>存在</w:t>
            </w:r>
            <w:r>
              <w:rPr>
                <w:rFonts w:hint="default" w:ascii="Times New Roman" w:hAnsi="Times New Roman" w:eastAsia="宋体" w:cs="Times New Roman"/>
                <w:color w:val="auto"/>
                <w:sz w:val="24"/>
                <w:szCs w:val="24"/>
                <w:highlight w:val="none"/>
                <w:lang w:eastAsia="zh-CN"/>
              </w:rPr>
              <w:t>声环境保护目标，</w:t>
            </w:r>
            <w:r>
              <w:rPr>
                <w:rFonts w:hint="eastAsia"/>
                <w:color w:val="auto"/>
                <w:sz w:val="24"/>
                <w:highlight w:val="none"/>
              </w:rPr>
              <w:t>本项目主要产噪设备为</w:t>
            </w:r>
            <w:r>
              <w:rPr>
                <w:rFonts w:hint="eastAsia"/>
                <w:color w:val="auto"/>
                <w:sz w:val="24"/>
                <w:highlight w:val="none"/>
                <w:lang w:val="en-US" w:eastAsia="zh-CN"/>
              </w:rPr>
              <w:t>四联双级达滤机</w:t>
            </w:r>
            <w:r>
              <w:rPr>
                <w:rFonts w:hint="eastAsia"/>
                <w:color w:val="auto"/>
                <w:sz w:val="24"/>
                <w:highlight w:val="none"/>
                <w:lang w:eastAsia="zh-CN"/>
              </w:rPr>
              <w:t>、</w:t>
            </w:r>
            <w:r>
              <w:rPr>
                <w:rFonts w:hint="eastAsia"/>
                <w:color w:val="auto"/>
                <w:sz w:val="24"/>
                <w:highlight w:val="none"/>
                <w:lang w:val="en-US" w:eastAsia="zh-CN"/>
              </w:rPr>
              <w:t>四联精密过滤机、灌装机</w:t>
            </w:r>
            <w:r>
              <w:rPr>
                <w:rFonts w:hint="eastAsia"/>
                <w:color w:val="auto"/>
                <w:sz w:val="24"/>
                <w:highlight w:val="none"/>
              </w:rPr>
              <w:t>和</w:t>
            </w:r>
            <w:r>
              <w:rPr>
                <w:rFonts w:hint="eastAsia"/>
                <w:color w:val="auto"/>
                <w:sz w:val="24"/>
                <w:highlight w:val="none"/>
                <w:lang w:eastAsia="zh-CN"/>
              </w:rPr>
              <w:t>各种泵</w:t>
            </w:r>
            <w:r>
              <w:rPr>
                <w:rFonts w:hint="eastAsia"/>
                <w:color w:val="auto"/>
                <w:sz w:val="24"/>
                <w:highlight w:val="none"/>
              </w:rPr>
              <w:t>等，噪声源强约</w:t>
            </w:r>
            <w:r>
              <w:rPr>
                <w:rFonts w:hint="eastAsia"/>
                <w:color w:val="auto"/>
                <w:sz w:val="24"/>
                <w:highlight w:val="none"/>
                <w:lang w:val="en-US" w:eastAsia="zh-CN"/>
              </w:rPr>
              <w:t>55~85</w:t>
            </w:r>
            <w:r>
              <w:rPr>
                <w:color w:val="auto"/>
                <w:sz w:val="24"/>
                <w:highlight w:val="none"/>
              </w:rPr>
              <w:t>dB(A)</w:t>
            </w:r>
            <w:r>
              <w:rPr>
                <w:rFonts w:hint="eastAsia"/>
                <w:color w:val="auto"/>
                <w:sz w:val="24"/>
                <w:highlight w:val="none"/>
                <w:lang w:eastAsia="zh-CN"/>
              </w:rPr>
              <w:t>。</w:t>
            </w:r>
            <w:r>
              <w:rPr>
                <w:rFonts w:hint="eastAsia" w:cs="Times New Roman"/>
                <w:color w:val="auto"/>
                <w:kern w:val="0"/>
                <w:sz w:val="24"/>
                <w:szCs w:val="24"/>
                <w:highlight w:val="none"/>
                <w:lang w:val="en-US" w:eastAsia="zh-CN" w:bidi="ar"/>
              </w:rPr>
              <w:t>本项目</w:t>
            </w:r>
            <w:r>
              <w:rPr>
                <w:rFonts w:hint="eastAsia" w:ascii="Times New Roman" w:hAnsi="Times New Roman" w:eastAsia="宋体" w:cs="Times New Roman"/>
                <w:color w:val="auto"/>
                <w:sz w:val="24"/>
                <w:szCs w:val="24"/>
                <w:highlight w:val="none"/>
                <w:lang w:eastAsia="zh-CN"/>
              </w:rPr>
              <w:t>采取先进的低噪声设备，生产设备</w:t>
            </w:r>
            <w:r>
              <w:rPr>
                <w:rFonts w:hint="eastAsia" w:ascii="Times New Roman" w:hAnsi="Times New Roman" w:eastAsia="宋体" w:cs="Times New Roman"/>
                <w:color w:val="auto"/>
                <w:sz w:val="24"/>
                <w:szCs w:val="24"/>
                <w:highlight w:val="none"/>
                <w:lang w:val="en-US" w:eastAsia="zh-CN"/>
              </w:rPr>
              <w:t>采取</w:t>
            </w:r>
            <w:r>
              <w:rPr>
                <w:rFonts w:hint="eastAsia" w:ascii="Times New Roman" w:hAnsi="Times New Roman" w:eastAsia="宋体" w:cs="Times New Roman"/>
                <w:color w:val="auto"/>
                <w:sz w:val="24"/>
                <w:szCs w:val="24"/>
                <w:highlight w:val="none"/>
                <w:lang w:eastAsia="zh-CN"/>
              </w:rPr>
              <w:t>基础减振及厂房隔声等措施</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highlight w:val="none"/>
              </w:rPr>
              <w:t>项目</w:t>
            </w:r>
            <w:r>
              <w:rPr>
                <w:rFonts w:hint="default" w:ascii="Times New Roman" w:hAnsi="Times New Roman" w:eastAsia="宋体" w:cs="Times New Roman"/>
                <w:color w:val="auto"/>
                <w:sz w:val="24"/>
                <w:szCs w:val="24"/>
                <w:highlight w:val="none"/>
              </w:rPr>
              <w:t>生</w:t>
            </w:r>
            <w:r>
              <w:rPr>
                <w:rFonts w:hint="default" w:ascii="Times New Roman" w:hAnsi="Times New Roman" w:eastAsia="宋体" w:cs="Times New Roman"/>
                <w:color w:val="auto"/>
                <w:sz w:val="24"/>
                <w:szCs w:val="24"/>
              </w:rPr>
              <w:t>产厂房为</w:t>
            </w:r>
            <w:r>
              <w:rPr>
                <w:rFonts w:hint="eastAsia" w:cs="Times New Roman"/>
                <w:color w:val="auto"/>
                <w:sz w:val="24"/>
                <w:szCs w:val="24"/>
                <w:lang w:eastAsia="zh-CN"/>
              </w:rPr>
              <w:t>钢混结构，厂房内布设各生产工序密闭车间，</w:t>
            </w:r>
            <w:r>
              <w:rPr>
                <w:rFonts w:hint="eastAsia" w:ascii="Times New Roman" w:hAnsi="Times New Roman" w:eastAsia="宋体" w:cs="Times New Roman"/>
                <w:color w:val="auto"/>
                <w:kern w:val="0"/>
                <w:sz w:val="24"/>
                <w:szCs w:val="24"/>
                <w:lang w:eastAsia="zh-CN"/>
              </w:rPr>
              <w:t>本</w:t>
            </w:r>
            <w:r>
              <w:rPr>
                <w:rFonts w:hint="default" w:ascii="Times New Roman" w:hAnsi="Times New Roman" w:eastAsia="宋体" w:cs="Times New Roman"/>
                <w:color w:val="auto"/>
                <w:kern w:val="0"/>
                <w:sz w:val="24"/>
                <w:szCs w:val="24"/>
              </w:rPr>
              <w:t>项目主要生产设备分布及噪声源强统计见下表：</w:t>
            </w:r>
          </w:p>
          <w:p w14:paraId="33C5A2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表4-</w:t>
            </w:r>
            <w:r>
              <w:rPr>
                <w:rFonts w:hint="eastAsia"/>
                <w:b/>
                <w:bCs/>
                <w:color w:val="auto"/>
                <w:sz w:val="21"/>
                <w:szCs w:val="21"/>
                <w:lang w:val="en-US" w:eastAsia="zh-CN"/>
              </w:rPr>
              <w:t xml:space="preserve">7 </w:t>
            </w:r>
            <w:r>
              <w:rPr>
                <w:rFonts w:hint="eastAsia"/>
                <w:b/>
                <w:bCs/>
                <w:color w:val="auto"/>
                <w:sz w:val="21"/>
                <w:szCs w:val="21"/>
                <w:lang w:eastAsia="zh-CN"/>
              </w:rPr>
              <w:t>本</w:t>
            </w:r>
            <w:r>
              <w:rPr>
                <w:rFonts w:hint="eastAsia"/>
                <w:b/>
                <w:bCs/>
                <w:color w:val="auto"/>
                <w:sz w:val="21"/>
                <w:szCs w:val="21"/>
              </w:rPr>
              <w:t>项目主要生产设备噪声源强一览表（室内声源）</w:t>
            </w:r>
          </w:p>
          <w:tbl>
            <w:tblPr>
              <w:tblStyle w:val="26"/>
              <w:tblW w:w="499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07"/>
              <w:gridCol w:w="457"/>
              <w:gridCol w:w="486"/>
              <w:gridCol w:w="504"/>
              <w:gridCol w:w="531"/>
              <w:gridCol w:w="762"/>
              <w:gridCol w:w="417"/>
              <w:gridCol w:w="437"/>
              <w:gridCol w:w="510"/>
              <w:gridCol w:w="511"/>
              <w:gridCol w:w="686"/>
              <w:gridCol w:w="666"/>
              <w:gridCol w:w="625"/>
              <w:gridCol w:w="815"/>
              <w:gridCol w:w="686"/>
              <w:gridCol w:w="630"/>
            </w:tblGrid>
            <w:tr w14:paraId="603098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0" w:type="pct"/>
                  <w:vMerge w:val="restart"/>
                  <w:tcBorders>
                    <w:tl2br w:val="nil"/>
                    <w:tr2bl w:val="nil"/>
                  </w:tcBorders>
                  <w:vAlign w:val="center"/>
                </w:tcPr>
                <w:p w14:paraId="6F5D4F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序号</w:t>
                  </w:r>
                </w:p>
              </w:tc>
              <w:tc>
                <w:tcPr>
                  <w:tcW w:w="253" w:type="pct"/>
                  <w:vMerge w:val="restart"/>
                  <w:tcBorders>
                    <w:tl2br w:val="nil"/>
                    <w:tr2bl w:val="nil"/>
                  </w:tcBorders>
                  <w:vAlign w:val="center"/>
                </w:tcPr>
                <w:p w14:paraId="736398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建筑物名称</w:t>
                  </w:r>
                </w:p>
              </w:tc>
              <w:tc>
                <w:tcPr>
                  <w:tcW w:w="548" w:type="pct"/>
                  <w:gridSpan w:val="2"/>
                  <w:vMerge w:val="restart"/>
                  <w:tcBorders>
                    <w:tl2br w:val="nil"/>
                    <w:tr2bl w:val="nil"/>
                  </w:tcBorders>
                  <w:vAlign w:val="center"/>
                </w:tcPr>
                <w:p w14:paraId="46D6CB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声源名称</w:t>
                  </w:r>
                </w:p>
              </w:tc>
              <w:tc>
                <w:tcPr>
                  <w:tcW w:w="294" w:type="pct"/>
                  <w:vMerge w:val="restart"/>
                  <w:tcBorders>
                    <w:tl2br w:val="nil"/>
                    <w:tr2bl w:val="nil"/>
                  </w:tcBorders>
                  <w:vAlign w:val="center"/>
                </w:tcPr>
                <w:p w14:paraId="3C463B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kern w:val="0"/>
                      <w:sz w:val="21"/>
                      <w:szCs w:val="21"/>
                    </w:rPr>
                    <w:t>数量</w:t>
                  </w:r>
                </w:p>
              </w:tc>
              <w:tc>
                <w:tcPr>
                  <w:tcW w:w="422" w:type="pct"/>
                  <w:vMerge w:val="restart"/>
                  <w:tcBorders>
                    <w:tl2br w:val="nil"/>
                    <w:tr2bl w:val="nil"/>
                  </w:tcBorders>
                  <w:vAlign w:val="center"/>
                </w:tcPr>
                <w:p w14:paraId="192488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声源源强/声压级dB(A)</w:t>
                  </w:r>
                </w:p>
              </w:tc>
              <w:tc>
                <w:tcPr>
                  <w:tcW w:w="231" w:type="pct"/>
                  <w:vMerge w:val="restart"/>
                  <w:tcBorders>
                    <w:tl2br w:val="nil"/>
                    <w:tr2bl w:val="nil"/>
                  </w:tcBorders>
                  <w:vAlign w:val="center"/>
                </w:tcPr>
                <w:p w14:paraId="4D79D4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18"/>
                      <w:szCs w:val="18"/>
                    </w:rPr>
                    <w:t>声源控制措施</w:t>
                  </w:r>
                </w:p>
              </w:tc>
              <w:tc>
                <w:tcPr>
                  <w:tcW w:w="807" w:type="pct"/>
                  <w:gridSpan w:val="3"/>
                  <w:tcBorders>
                    <w:tl2br w:val="nil"/>
                    <w:tr2bl w:val="nil"/>
                  </w:tcBorders>
                  <w:vAlign w:val="center"/>
                </w:tcPr>
                <w:p w14:paraId="5A20EA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空间相对位置/m</w:t>
                  </w:r>
                </w:p>
              </w:tc>
              <w:tc>
                <w:tcPr>
                  <w:tcW w:w="380" w:type="pct"/>
                  <w:vMerge w:val="restart"/>
                  <w:tcBorders>
                    <w:tl2br w:val="nil"/>
                    <w:tr2bl w:val="nil"/>
                  </w:tcBorders>
                  <w:vAlign w:val="center"/>
                </w:tcPr>
                <w:p w14:paraId="3493BB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距室内边界距离/m</w:t>
                  </w:r>
                </w:p>
              </w:tc>
              <w:tc>
                <w:tcPr>
                  <w:tcW w:w="369" w:type="pct"/>
                  <w:vMerge w:val="restart"/>
                  <w:tcBorders>
                    <w:tl2br w:val="nil"/>
                    <w:tr2bl w:val="nil"/>
                  </w:tcBorders>
                  <w:vAlign w:val="center"/>
                </w:tcPr>
                <w:p w14:paraId="30C92E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室内边界声级/dB(A)</w:t>
                  </w:r>
                </w:p>
              </w:tc>
              <w:tc>
                <w:tcPr>
                  <w:tcW w:w="346" w:type="pct"/>
                  <w:vMerge w:val="restart"/>
                  <w:tcBorders>
                    <w:tl2br w:val="nil"/>
                    <w:tr2bl w:val="nil"/>
                  </w:tcBorders>
                  <w:vAlign w:val="center"/>
                </w:tcPr>
                <w:p w14:paraId="0B1C18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运行时段</w:t>
                  </w:r>
                </w:p>
              </w:tc>
              <w:tc>
                <w:tcPr>
                  <w:tcW w:w="451" w:type="pct"/>
                  <w:vMerge w:val="restart"/>
                  <w:tcBorders>
                    <w:tl2br w:val="nil"/>
                    <w:tr2bl w:val="nil"/>
                  </w:tcBorders>
                  <w:vAlign w:val="center"/>
                </w:tcPr>
                <w:p w14:paraId="64E1A8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建筑物插入损失/</w:t>
                  </w:r>
                  <w:r>
                    <w:rPr>
                      <w:rFonts w:hint="default" w:ascii="Times New Roman" w:hAnsi="Times New Roman" w:eastAsia="宋体" w:cs="Times New Roman"/>
                      <w:b/>
                      <w:bCs/>
                      <w:color w:val="auto"/>
                      <w:kern w:val="0"/>
                      <w:sz w:val="18"/>
                      <w:szCs w:val="18"/>
                    </w:rPr>
                    <w:t>dB(A)</w:t>
                  </w:r>
                </w:p>
              </w:tc>
              <w:tc>
                <w:tcPr>
                  <w:tcW w:w="725" w:type="pct"/>
                  <w:gridSpan w:val="2"/>
                  <w:tcBorders>
                    <w:tl2br w:val="nil"/>
                    <w:tr2bl w:val="nil"/>
                  </w:tcBorders>
                  <w:vAlign w:val="center"/>
                </w:tcPr>
                <w:p w14:paraId="6B9330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b/>
                      <w:bCs/>
                      <w:color w:val="auto"/>
                      <w:kern w:val="0"/>
                      <w:sz w:val="21"/>
                      <w:szCs w:val="21"/>
                      <w:lang w:eastAsia="zh-CN"/>
                    </w:rPr>
                  </w:pPr>
                  <w:r>
                    <w:rPr>
                      <w:rFonts w:hint="default" w:ascii="Times New Roman" w:hAnsi="Times New Roman" w:eastAsia="宋体" w:cs="Times New Roman"/>
                      <w:b/>
                      <w:bCs/>
                      <w:color w:val="auto"/>
                      <w:kern w:val="0"/>
                      <w:sz w:val="21"/>
                      <w:szCs w:val="21"/>
                    </w:rPr>
                    <w:t>建筑物外噪声</w:t>
                  </w:r>
                </w:p>
              </w:tc>
            </w:tr>
            <w:tr w14:paraId="4B61F0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 w:type="pct"/>
                  <w:vMerge w:val="continue"/>
                  <w:tcBorders>
                    <w:tl2br w:val="nil"/>
                    <w:tr2bl w:val="nil"/>
                  </w:tcBorders>
                  <w:vAlign w:val="center"/>
                </w:tcPr>
                <w:p w14:paraId="172B15A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253" w:type="pct"/>
                  <w:vMerge w:val="continue"/>
                  <w:tcBorders>
                    <w:tl2br w:val="nil"/>
                    <w:tr2bl w:val="nil"/>
                  </w:tcBorders>
                  <w:vAlign w:val="center"/>
                </w:tcPr>
                <w:p w14:paraId="1286751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548" w:type="pct"/>
                  <w:gridSpan w:val="2"/>
                  <w:vMerge w:val="continue"/>
                  <w:tcBorders>
                    <w:tl2br w:val="nil"/>
                    <w:tr2bl w:val="nil"/>
                  </w:tcBorders>
                  <w:vAlign w:val="center"/>
                </w:tcPr>
                <w:p w14:paraId="3718BCD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294" w:type="pct"/>
                  <w:vMerge w:val="continue"/>
                  <w:tcBorders>
                    <w:tl2br w:val="nil"/>
                    <w:tr2bl w:val="nil"/>
                  </w:tcBorders>
                  <w:vAlign w:val="center"/>
                </w:tcPr>
                <w:p w14:paraId="185E541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422" w:type="pct"/>
                  <w:vMerge w:val="continue"/>
                  <w:tcBorders>
                    <w:tl2br w:val="nil"/>
                    <w:tr2bl w:val="nil"/>
                  </w:tcBorders>
                  <w:vAlign w:val="center"/>
                </w:tcPr>
                <w:p w14:paraId="77A0ECB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231" w:type="pct"/>
                  <w:vMerge w:val="continue"/>
                  <w:tcBorders>
                    <w:tl2br w:val="nil"/>
                    <w:tr2bl w:val="nil"/>
                  </w:tcBorders>
                  <w:vAlign w:val="center"/>
                </w:tcPr>
                <w:p w14:paraId="143ACDE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242" w:type="pct"/>
                  <w:tcBorders>
                    <w:tl2br w:val="nil"/>
                    <w:tr2bl w:val="nil"/>
                  </w:tcBorders>
                  <w:vAlign w:val="center"/>
                </w:tcPr>
                <w:p w14:paraId="51F2DF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kern w:val="0"/>
                      <w:sz w:val="21"/>
                      <w:szCs w:val="21"/>
                    </w:rPr>
                    <w:t>X</w:t>
                  </w:r>
                </w:p>
              </w:tc>
              <w:tc>
                <w:tcPr>
                  <w:tcW w:w="282" w:type="pct"/>
                  <w:tcBorders>
                    <w:tl2br w:val="nil"/>
                    <w:tr2bl w:val="nil"/>
                  </w:tcBorders>
                  <w:vAlign w:val="center"/>
                </w:tcPr>
                <w:p w14:paraId="01ECB7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kern w:val="0"/>
                      <w:sz w:val="21"/>
                      <w:szCs w:val="21"/>
                    </w:rPr>
                    <w:t>Y</w:t>
                  </w:r>
                </w:p>
              </w:tc>
              <w:tc>
                <w:tcPr>
                  <w:tcW w:w="282" w:type="pct"/>
                  <w:tcBorders>
                    <w:tl2br w:val="nil"/>
                    <w:tr2bl w:val="nil"/>
                  </w:tcBorders>
                  <w:vAlign w:val="center"/>
                </w:tcPr>
                <w:p w14:paraId="60CE2D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kern w:val="0"/>
                      <w:sz w:val="21"/>
                      <w:szCs w:val="21"/>
                    </w:rPr>
                    <w:t>Z</w:t>
                  </w:r>
                </w:p>
              </w:tc>
              <w:tc>
                <w:tcPr>
                  <w:tcW w:w="380" w:type="pct"/>
                  <w:vMerge w:val="continue"/>
                  <w:tcBorders>
                    <w:tl2br w:val="nil"/>
                    <w:tr2bl w:val="nil"/>
                  </w:tcBorders>
                  <w:vAlign w:val="center"/>
                </w:tcPr>
                <w:p w14:paraId="6E2C97C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369" w:type="pct"/>
                  <w:vMerge w:val="continue"/>
                  <w:tcBorders>
                    <w:tl2br w:val="nil"/>
                    <w:tr2bl w:val="nil"/>
                  </w:tcBorders>
                  <w:vAlign w:val="center"/>
                </w:tcPr>
                <w:p w14:paraId="759E72B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346" w:type="pct"/>
                  <w:vMerge w:val="continue"/>
                  <w:tcBorders>
                    <w:tl2br w:val="nil"/>
                    <w:tr2bl w:val="nil"/>
                  </w:tcBorders>
                  <w:vAlign w:val="center"/>
                </w:tcPr>
                <w:p w14:paraId="413FAF7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451" w:type="pct"/>
                  <w:vMerge w:val="continue"/>
                  <w:tcBorders>
                    <w:tl2br w:val="nil"/>
                    <w:tr2bl w:val="nil"/>
                  </w:tcBorders>
                  <w:vAlign w:val="center"/>
                </w:tcPr>
                <w:p w14:paraId="1B34125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380" w:type="pct"/>
                  <w:tcBorders>
                    <w:tl2br w:val="nil"/>
                    <w:tr2bl w:val="nil"/>
                  </w:tcBorders>
                  <w:vAlign w:val="center"/>
                </w:tcPr>
                <w:p w14:paraId="1E9719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声压级</w:t>
                  </w:r>
                  <w:r>
                    <w:rPr>
                      <w:rFonts w:hint="default" w:ascii="Times New Roman" w:hAnsi="Times New Roman" w:eastAsia="宋体" w:cs="Times New Roman"/>
                      <w:b/>
                      <w:bCs/>
                      <w:color w:val="auto"/>
                      <w:kern w:val="0"/>
                      <w:sz w:val="18"/>
                      <w:szCs w:val="18"/>
                    </w:rPr>
                    <w:t>dB(A)</w:t>
                  </w:r>
                </w:p>
              </w:tc>
              <w:tc>
                <w:tcPr>
                  <w:tcW w:w="344" w:type="pct"/>
                  <w:tcBorders>
                    <w:tl2br w:val="nil"/>
                    <w:tr2bl w:val="nil"/>
                  </w:tcBorders>
                  <w:vAlign w:val="center"/>
                </w:tcPr>
                <w:p w14:paraId="7A7E71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18"/>
                      <w:szCs w:val="18"/>
                    </w:rPr>
                    <w:t>建筑物外距离</w:t>
                  </w:r>
                </w:p>
              </w:tc>
            </w:tr>
            <w:tr w14:paraId="2D2298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170" w:type="pct"/>
                  <w:tcBorders>
                    <w:tl2br w:val="nil"/>
                    <w:tr2bl w:val="nil"/>
                  </w:tcBorders>
                  <w:vAlign w:val="center"/>
                </w:tcPr>
                <w:p w14:paraId="4D2AAB78">
                  <w:pPr>
                    <w:keepNext w:val="0"/>
                    <w:keepLines w:val="0"/>
                    <w:pageBreakBefore w:val="0"/>
                    <w:numPr>
                      <w:ilvl w:val="0"/>
                      <w:numId w:val="5"/>
                    </w:numPr>
                    <w:kinsoku/>
                    <w:wordWrap/>
                    <w:overflowPunct/>
                    <w:topLinePunct w:val="0"/>
                    <w:autoSpaceDE/>
                    <w:autoSpaceDN/>
                    <w:bidi w:val="0"/>
                    <w:adjustRightInd w:val="0"/>
                    <w:snapToGrid w:val="0"/>
                    <w:spacing w:line="240" w:lineRule="auto"/>
                    <w:ind w:left="425" w:leftChars="0" w:hanging="425" w:firstLineChars="0"/>
                    <w:jc w:val="center"/>
                    <w:rPr>
                      <w:rFonts w:hint="default" w:ascii="Times New Roman" w:hAnsi="Times New Roman" w:eastAsia="宋体" w:cs="Times New Roman"/>
                      <w:color w:val="auto"/>
                      <w:sz w:val="21"/>
                      <w:szCs w:val="21"/>
                      <w:lang w:val="en-US" w:eastAsia="zh-CN"/>
                    </w:rPr>
                  </w:pPr>
                </w:p>
              </w:tc>
              <w:tc>
                <w:tcPr>
                  <w:tcW w:w="253" w:type="pct"/>
                  <w:vMerge w:val="restart"/>
                  <w:tcBorders>
                    <w:tl2br w:val="nil"/>
                    <w:tr2bl w:val="nil"/>
                  </w:tcBorders>
                  <w:vAlign w:val="center"/>
                </w:tcPr>
                <w:p w14:paraId="521CE31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生产厂房</w:t>
                  </w:r>
                </w:p>
              </w:tc>
              <w:tc>
                <w:tcPr>
                  <w:tcW w:w="269" w:type="pct"/>
                  <w:vMerge w:val="restart"/>
                  <w:tcBorders>
                    <w:tl2br w:val="nil"/>
                    <w:tr2bl w:val="nil"/>
                  </w:tcBorders>
                  <w:vAlign w:val="center"/>
                </w:tcPr>
                <w:p w14:paraId="27A6FE2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cs="Times New Roman"/>
                      <w:b w:val="0"/>
                      <w:bCs w:val="0"/>
                      <w:color w:val="auto"/>
                      <w:sz w:val="21"/>
                      <w:szCs w:val="21"/>
                      <w:highlight w:val="none"/>
                      <w:lang w:val="en-US" w:eastAsia="zh-CN"/>
                    </w:rPr>
                    <w:t>发酵间</w:t>
                  </w:r>
                </w:p>
              </w:tc>
              <w:tc>
                <w:tcPr>
                  <w:tcW w:w="278" w:type="pct"/>
                  <w:tcBorders>
                    <w:tl2br w:val="nil"/>
                    <w:tr2bl w:val="nil"/>
                  </w:tcBorders>
                  <w:vAlign w:val="center"/>
                </w:tcPr>
                <w:p w14:paraId="75BBCA5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cs="Times New Roman"/>
                      <w:color w:val="auto"/>
                      <w:sz w:val="21"/>
                      <w:szCs w:val="21"/>
                      <w:lang w:eastAsia="zh-CN"/>
                    </w:rPr>
                  </w:pPr>
                  <w:r>
                    <w:rPr>
                      <w:rFonts w:hint="eastAsia" w:cs="Times New Roman"/>
                      <w:b w:val="0"/>
                      <w:bCs w:val="0"/>
                      <w:color w:val="auto"/>
                      <w:sz w:val="21"/>
                      <w:szCs w:val="21"/>
                      <w:highlight w:val="none"/>
                      <w:lang w:val="en-US" w:eastAsia="zh-CN"/>
                    </w:rPr>
                    <w:t>四联双级达滤机</w:t>
                  </w:r>
                </w:p>
              </w:tc>
              <w:tc>
                <w:tcPr>
                  <w:tcW w:w="294" w:type="pct"/>
                  <w:tcBorders>
                    <w:tl2br w:val="nil"/>
                    <w:tr2bl w:val="nil"/>
                  </w:tcBorders>
                  <w:vAlign w:val="center"/>
                </w:tcPr>
                <w:p w14:paraId="7E9381D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1台</w:t>
                  </w:r>
                </w:p>
              </w:tc>
              <w:tc>
                <w:tcPr>
                  <w:tcW w:w="422" w:type="pct"/>
                  <w:tcBorders>
                    <w:tl2br w:val="nil"/>
                    <w:tr2bl w:val="nil"/>
                  </w:tcBorders>
                  <w:vAlign w:val="center"/>
                </w:tcPr>
                <w:p w14:paraId="75D9199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85</w:t>
                  </w:r>
                </w:p>
              </w:tc>
              <w:tc>
                <w:tcPr>
                  <w:tcW w:w="231" w:type="pct"/>
                  <w:vMerge w:val="restart"/>
                  <w:tcBorders>
                    <w:tl2br w:val="nil"/>
                    <w:tr2bl w:val="nil"/>
                  </w:tcBorders>
                  <w:vAlign w:val="center"/>
                </w:tcPr>
                <w:p w14:paraId="068D847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低噪声设备+基础减振</w:t>
                  </w:r>
                  <w:r>
                    <w:rPr>
                      <w:rFonts w:hint="eastAsia" w:ascii="Times New Roman" w:hAnsi="Times New Roman" w:eastAsia="宋体" w:cs="Times New Roman"/>
                      <w:color w:val="auto"/>
                      <w:sz w:val="21"/>
                      <w:szCs w:val="21"/>
                      <w:lang w:val="en-US" w:eastAsia="zh-CN"/>
                    </w:rPr>
                    <w:t>+厂房隔声</w:t>
                  </w:r>
                </w:p>
              </w:tc>
              <w:tc>
                <w:tcPr>
                  <w:tcW w:w="242" w:type="pct"/>
                  <w:tcBorders>
                    <w:tl2br w:val="nil"/>
                    <w:tr2bl w:val="nil"/>
                  </w:tcBorders>
                  <w:vAlign w:val="center"/>
                </w:tcPr>
                <w:p w14:paraId="520DF0A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11</w:t>
                  </w:r>
                </w:p>
              </w:tc>
              <w:tc>
                <w:tcPr>
                  <w:tcW w:w="282" w:type="pct"/>
                  <w:tcBorders>
                    <w:tl2br w:val="nil"/>
                    <w:tr2bl w:val="nil"/>
                  </w:tcBorders>
                  <w:vAlign w:val="center"/>
                </w:tcPr>
                <w:p w14:paraId="34B44CE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12</w:t>
                  </w:r>
                </w:p>
              </w:tc>
              <w:tc>
                <w:tcPr>
                  <w:tcW w:w="282" w:type="pct"/>
                  <w:tcBorders>
                    <w:tl2br w:val="nil"/>
                    <w:tr2bl w:val="nil"/>
                  </w:tcBorders>
                  <w:vAlign w:val="center"/>
                </w:tcPr>
                <w:p w14:paraId="5C0638B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0.5</w:t>
                  </w:r>
                </w:p>
              </w:tc>
              <w:tc>
                <w:tcPr>
                  <w:tcW w:w="380" w:type="pct"/>
                  <w:tcBorders>
                    <w:tl2br w:val="nil"/>
                    <w:tr2bl w:val="nil"/>
                  </w:tcBorders>
                  <w:vAlign w:val="center"/>
                </w:tcPr>
                <w:p w14:paraId="0D9B123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w:t>
                  </w:r>
                </w:p>
              </w:tc>
              <w:tc>
                <w:tcPr>
                  <w:tcW w:w="369" w:type="pct"/>
                  <w:tcBorders>
                    <w:tl2br w:val="nil"/>
                    <w:tr2bl w:val="nil"/>
                  </w:tcBorders>
                  <w:vAlign w:val="center"/>
                </w:tcPr>
                <w:p w14:paraId="7BE180E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68</w:t>
                  </w:r>
                </w:p>
              </w:tc>
              <w:tc>
                <w:tcPr>
                  <w:tcW w:w="346" w:type="pct"/>
                  <w:tcBorders>
                    <w:tl2br w:val="nil"/>
                    <w:tr2bl w:val="nil"/>
                  </w:tcBorders>
                  <w:vAlign w:val="center"/>
                </w:tcPr>
                <w:p w14:paraId="75C2A26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8h</w:t>
                  </w:r>
                </w:p>
              </w:tc>
              <w:tc>
                <w:tcPr>
                  <w:tcW w:w="451" w:type="pct"/>
                  <w:tcBorders>
                    <w:tl2br w:val="nil"/>
                    <w:tr2bl w:val="nil"/>
                  </w:tcBorders>
                  <w:vAlign w:val="center"/>
                </w:tcPr>
                <w:p w14:paraId="1CA142B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26</w:t>
                  </w:r>
                </w:p>
              </w:tc>
              <w:tc>
                <w:tcPr>
                  <w:tcW w:w="691" w:type="dxa"/>
                  <w:tcBorders>
                    <w:tl2br w:val="nil"/>
                    <w:tr2bl w:val="nil"/>
                  </w:tcBorders>
                  <w:vAlign w:val="center"/>
                </w:tcPr>
                <w:p w14:paraId="6C95E88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42</w:t>
                  </w:r>
                </w:p>
              </w:tc>
              <w:tc>
                <w:tcPr>
                  <w:tcW w:w="344" w:type="pct"/>
                  <w:tcBorders>
                    <w:tl2br w:val="nil"/>
                    <w:tr2bl w:val="nil"/>
                  </w:tcBorders>
                  <w:vAlign w:val="center"/>
                </w:tcPr>
                <w:p w14:paraId="3E75240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1</w:t>
                  </w:r>
                </w:p>
              </w:tc>
            </w:tr>
            <w:tr w14:paraId="5AF1AF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70" w:type="pct"/>
                  <w:tcBorders>
                    <w:tl2br w:val="nil"/>
                    <w:tr2bl w:val="nil"/>
                  </w:tcBorders>
                  <w:vAlign w:val="center"/>
                </w:tcPr>
                <w:p w14:paraId="0A50D729">
                  <w:pPr>
                    <w:keepNext w:val="0"/>
                    <w:keepLines w:val="0"/>
                    <w:pageBreakBefore w:val="0"/>
                    <w:numPr>
                      <w:ilvl w:val="0"/>
                      <w:numId w:val="5"/>
                    </w:numPr>
                    <w:kinsoku/>
                    <w:wordWrap/>
                    <w:overflowPunct/>
                    <w:topLinePunct w:val="0"/>
                    <w:autoSpaceDE/>
                    <w:autoSpaceDN/>
                    <w:bidi w:val="0"/>
                    <w:adjustRightInd w:val="0"/>
                    <w:snapToGrid w:val="0"/>
                    <w:spacing w:line="240" w:lineRule="auto"/>
                    <w:ind w:left="425" w:leftChars="0" w:hanging="425" w:firstLineChars="0"/>
                    <w:jc w:val="center"/>
                    <w:rPr>
                      <w:rFonts w:hint="default" w:ascii="Times New Roman" w:hAnsi="Times New Roman" w:eastAsia="宋体" w:cs="Times New Roman"/>
                      <w:color w:val="auto"/>
                      <w:kern w:val="2"/>
                      <w:sz w:val="21"/>
                      <w:szCs w:val="21"/>
                      <w:lang w:val="en-US" w:eastAsia="zh-CN" w:bidi="ar-SA"/>
                    </w:rPr>
                  </w:pPr>
                </w:p>
              </w:tc>
              <w:tc>
                <w:tcPr>
                  <w:tcW w:w="253" w:type="pct"/>
                  <w:vMerge w:val="continue"/>
                  <w:tcBorders>
                    <w:tl2br w:val="nil"/>
                    <w:tr2bl w:val="nil"/>
                  </w:tcBorders>
                  <w:vAlign w:val="center"/>
                </w:tcPr>
                <w:p w14:paraId="7B337D0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69" w:type="pct"/>
                  <w:vMerge w:val="continue"/>
                  <w:tcBorders>
                    <w:tl2br w:val="nil"/>
                    <w:tr2bl w:val="nil"/>
                  </w:tcBorders>
                  <w:vAlign w:val="center"/>
                </w:tcPr>
                <w:p w14:paraId="7F769C7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eastAsia="zh-CN"/>
                    </w:rPr>
                  </w:pPr>
                </w:p>
              </w:tc>
              <w:tc>
                <w:tcPr>
                  <w:tcW w:w="278" w:type="pct"/>
                  <w:tcBorders>
                    <w:tl2br w:val="nil"/>
                    <w:tr2bl w:val="nil"/>
                  </w:tcBorders>
                  <w:vAlign w:val="center"/>
                </w:tcPr>
                <w:p w14:paraId="0841A43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卫生泵</w:t>
                  </w:r>
                </w:p>
              </w:tc>
              <w:tc>
                <w:tcPr>
                  <w:tcW w:w="294" w:type="pct"/>
                  <w:tcBorders>
                    <w:tl2br w:val="nil"/>
                    <w:tr2bl w:val="nil"/>
                  </w:tcBorders>
                  <w:vAlign w:val="center"/>
                </w:tcPr>
                <w:p w14:paraId="7365129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1台</w:t>
                  </w:r>
                </w:p>
              </w:tc>
              <w:tc>
                <w:tcPr>
                  <w:tcW w:w="422" w:type="pct"/>
                  <w:tcBorders>
                    <w:tl2br w:val="nil"/>
                    <w:tr2bl w:val="nil"/>
                  </w:tcBorders>
                  <w:vAlign w:val="center"/>
                </w:tcPr>
                <w:p w14:paraId="2E0EDD6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80</w:t>
                  </w:r>
                </w:p>
              </w:tc>
              <w:tc>
                <w:tcPr>
                  <w:tcW w:w="231" w:type="pct"/>
                  <w:vMerge w:val="continue"/>
                  <w:tcBorders>
                    <w:tl2br w:val="nil"/>
                    <w:tr2bl w:val="nil"/>
                  </w:tcBorders>
                  <w:vAlign w:val="center"/>
                </w:tcPr>
                <w:p w14:paraId="0422CAF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42" w:type="pct"/>
                  <w:tcBorders>
                    <w:tl2br w:val="nil"/>
                    <w:tr2bl w:val="nil"/>
                  </w:tcBorders>
                  <w:vAlign w:val="center"/>
                </w:tcPr>
                <w:p w14:paraId="4109E65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12</w:t>
                  </w:r>
                </w:p>
              </w:tc>
              <w:tc>
                <w:tcPr>
                  <w:tcW w:w="282" w:type="pct"/>
                  <w:tcBorders>
                    <w:tl2br w:val="nil"/>
                    <w:tr2bl w:val="nil"/>
                  </w:tcBorders>
                  <w:vAlign w:val="center"/>
                </w:tcPr>
                <w:p w14:paraId="7BEDEEA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13</w:t>
                  </w:r>
                </w:p>
              </w:tc>
              <w:tc>
                <w:tcPr>
                  <w:tcW w:w="282" w:type="pct"/>
                  <w:tcBorders>
                    <w:tl2br w:val="nil"/>
                    <w:tr2bl w:val="nil"/>
                  </w:tcBorders>
                  <w:vAlign w:val="center"/>
                </w:tcPr>
                <w:p w14:paraId="7C80AEB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0.5</w:t>
                  </w:r>
                </w:p>
              </w:tc>
              <w:tc>
                <w:tcPr>
                  <w:tcW w:w="380" w:type="pct"/>
                  <w:tcBorders>
                    <w:tl2br w:val="nil"/>
                    <w:tr2bl w:val="nil"/>
                  </w:tcBorders>
                  <w:vAlign w:val="center"/>
                </w:tcPr>
                <w:p w14:paraId="2380E65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w:t>
                  </w:r>
                </w:p>
              </w:tc>
              <w:tc>
                <w:tcPr>
                  <w:tcW w:w="369" w:type="pct"/>
                  <w:tcBorders>
                    <w:tl2br w:val="nil"/>
                    <w:tr2bl w:val="nil"/>
                  </w:tcBorders>
                  <w:vAlign w:val="center"/>
                </w:tcPr>
                <w:p w14:paraId="3BFBA4E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61</w:t>
                  </w:r>
                </w:p>
              </w:tc>
              <w:tc>
                <w:tcPr>
                  <w:tcW w:w="346" w:type="pct"/>
                  <w:tcBorders>
                    <w:tl2br w:val="nil"/>
                    <w:tr2bl w:val="nil"/>
                  </w:tcBorders>
                  <w:vAlign w:val="center"/>
                </w:tcPr>
                <w:p w14:paraId="5ACFC06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8h</w:t>
                  </w:r>
                </w:p>
              </w:tc>
              <w:tc>
                <w:tcPr>
                  <w:tcW w:w="451" w:type="pct"/>
                  <w:tcBorders>
                    <w:tl2br w:val="nil"/>
                    <w:tr2bl w:val="nil"/>
                  </w:tcBorders>
                  <w:vAlign w:val="center"/>
                </w:tcPr>
                <w:p w14:paraId="0B44AD7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26</w:t>
                  </w:r>
                </w:p>
              </w:tc>
              <w:tc>
                <w:tcPr>
                  <w:tcW w:w="691" w:type="dxa"/>
                  <w:tcBorders>
                    <w:tl2br w:val="nil"/>
                    <w:tr2bl w:val="nil"/>
                  </w:tcBorders>
                  <w:vAlign w:val="center"/>
                </w:tcPr>
                <w:p w14:paraId="3CD68EE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35</w:t>
                  </w:r>
                </w:p>
              </w:tc>
              <w:tc>
                <w:tcPr>
                  <w:tcW w:w="344" w:type="pct"/>
                  <w:tcBorders>
                    <w:tl2br w:val="nil"/>
                    <w:tr2bl w:val="nil"/>
                  </w:tcBorders>
                  <w:vAlign w:val="center"/>
                </w:tcPr>
                <w:p w14:paraId="31A0EC5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1</w:t>
                  </w:r>
                </w:p>
              </w:tc>
            </w:tr>
            <w:tr w14:paraId="3C7BDA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1" w:hRule="atLeast"/>
              </w:trPr>
              <w:tc>
                <w:tcPr>
                  <w:tcW w:w="170" w:type="pct"/>
                  <w:tcBorders>
                    <w:tl2br w:val="nil"/>
                    <w:tr2bl w:val="nil"/>
                  </w:tcBorders>
                  <w:vAlign w:val="center"/>
                </w:tcPr>
                <w:p w14:paraId="3F0AB367">
                  <w:pPr>
                    <w:keepNext w:val="0"/>
                    <w:keepLines w:val="0"/>
                    <w:pageBreakBefore w:val="0"/>
                    <w:numPr>
                      <w:ilvl w:val="0"/>
                      <w:numId w:val="5"/>
                    </w:numPr>
                    <w:kinsoku/>
                    <w:wordWrap/>
                    <w:overflowPunct/>
                    <w:topLinePunct w:val="0"/>
                    <w:autoSpaceDE/>
                    <w:autoSpaceDN/>
                    <w:bidi w:val="0"/>
                    <w:adjustRightInd w:val="0"/>
                    <w:snapToGrid w:val="0"/>
                    <w:spacing w:line="240" w:lineRule="auto"/>
                    <w:ind w:left="425" w:leftChars="0" w:hanging="425" w:firstLineChars="0"/>
                    <w:jc w:val="center"/>
                    <w:rPr>
                      <w:rFonts w:hint="default" w:ascii="Times New Roman" w:hAnsi="Times New Roman" w:eastAsia="宋体" w:cs="Times New Roman"/>
                      <w:color w:val="auto"/>
                      <w:sz w:val="21"/>
                      <w:szCs w:val="21"/>
                      <w:lang w:val="en-US" w:eastAsia="zh-CN"/>
                    </w:rPr>
                  </w:pPr>
                </w:p>
              </w:tc>
              <w:tc>
                <w:tcPr>
                  <w:tcW w:w="253" w:type="pct"/>
                  <w:vMerge w:val="continue"/>
                  <w:tcBorders>
                    <w:tl2br w:val="nil"/>
                    <w:tr2bl w:val="nil"/>
                  </w:tcBorders>
                  <w:vAlign w:val="center"/>
                </w:tcPr>
                <w:p w14:paraId="653D86C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69" w:type="pct"/>
                  <w:tcBorders>
                    <w:tl2br w:val="nil"/>
                    <w:tr2bl w:val="nil"/>
                  </w:tcBorders>
                  <w:vAlign w:val="center"/>
                </w:tcPr>
                <w:p w14:paraId="75D66DD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eastAsia="zh-CN"/>
                    </w:rPr>
                    <w:t>脱醇间</w:t>
                  </w:r>
                </w:p>
              </w:tc>
              <w:tc>
                <w:tcPr>
                  <w:tcW w:w="278" w:type="pct"/>
                  <w:tcBorders>
                    <w:tl2br w:val="nil"/>
                    <w:tr2bl w:val="nil"/>
                  </w:tcBorders>
                  <w:vAlign w:val="center"/>
                </w:tcPr>
                <w:p w14:paraId="795A457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cs="Times New Roman"/>
                      <w:color w:val="auto"/>
                      <w:sz w:val="21"/>
                      <w:szCs w:val="21"/>
                      <w:lang w:eastAsia="zh-CN"/>
                    </w:rPr>
                  </w:pPr>
                  <w:r>
                    <w:rPr>
                      <w:rFonts w:hint="eastAsia" w:cs="Times New Roman"/>
                      <w:b w:val="0"/>
                      <w:bCs w:val="0"/>
                      <w:color w:val="auto"/>
                      <w:sz w:val="21"/>
                      <w:szCs w:val="21"/>
                      <w:highlight w:val="none"/>
                      <w:lang w:val="en-US" w:eastAsia="zh-CN"/>
                    </w:rPr>
                    <w:t>真空脱醇设备</w:t>
                  </w:r>
                </w:p>
              </w:tc>
              <w:tc>
                <w:tcPr>
                  <w:tcW w:w="294" w:type="pct"/>
                  <w:tcBorders>
                    <w:tl2br w:val="nil"/>
                    <w:tr2bl w:val="nil"/>
                  </w:tcBorders>
                  <w:vAlign w:val="center"/>
                </w:tcPr>
                <w:p w14:paraId="314041D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1台</w:t>
                  </w:r>
                </w:p>
              </w:tc>
              <w:tc>
                <w:tcPr>
                  <w:tcW w:w="422" w:type="pct"/>
                  <w:tcBorders>
                    <w:tl2br w:val="nil"/>
                    <w:tr2bl w:val="nil"/>
                  </w:tcBorders>
                  <w:vAlign w:val="center"/>
                </w:tcPr>
                <w:p w14:paraId="1ACB856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85</w:t>
                  </w:r>
                </w:p>
              </w:tc>
              <w:tc>
                <w:tcPr>
                  <w:tcW w:w="231" w:type="pct"/>
                  <w:vMerge w:val="continue"/>
                  <w:tcBorders>
                    <w:tl2br w:val="nil"/>
                    <w:tr2bl w:val="nil"/>
                  </w:tcBorders>
                  <w:vAlign w:val="center"/>
                </w:tcPr>
                <w:p w14:paraId="1A00C28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42" w:type="pct"/>
                  <w:tcBorders>
                    <w:tl2br w:val="nil"/>
                    <w:tr2bl w:val="nil"/>
                  </w:tcBorders>
                  <w:vAlign w:val="center"/>
                </w:tcPr>
                <w:p w14:paraId="784C6A0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33</w:t>
                  </w:r>
                </w:p>
              </w:tc>
              <w:tc>
                <w:tcPr>
                  <w:tcW w:w="282" w:type="pct"/>
                  <w:tcBorders>
                    <w:tl2br w:val="nil"/>
                    <w:tr2bl w:val="nil"/>
                  </w:tcBorders>
                  <w:vAlign w:val="center"/>
                </w:tcPr>
                <w:p w14:paraId="1286323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13</w:t>
                  </w:r>
                </w:p>
              </w:tc>
              <w:tc>
                <w:tcPr>
                  <w:tcW w:w="282" w:type="pct"/>
                  <w:tcBorders>
                    <w:tl2br w:val="nil"/>
                    <w:tr2bl w:val="nil"/>
                  </w:tcBorders>
                  <w:vAlign w:val="center"/>
                </w:tcPr>
                <w:p w14:paraId="2E17E4E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1.5</w:t>
                  </w:r>
                </w:p>
              </w:tc>
              <w:tc>
                <w:tcPr>
                  <w:tcW w:w="380" w:type="pct"/>
                  <w:tcBorders>
                    <w:tl2br w:val="nil"/>
                    <w:tr2bl w:val="nil"/>
                  </w:tcBorders>
                  <w:vAlign w:val="center"/>
                </w:tcPr>
                <w:p w14:paraId="7B67BB3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w:t>
                  </w:r>
                </w:p>
              </w:tc>
              <w:tc>
                <w:tcPr>
                  <w:tcW w:w="369" w:type="pct"/>
                  <w:tcBorders>
                    <w:tl2br w:val="nil"/>
                    <w:tr2bl w:val="nil"/>
                  </w:tcBorders>
                  <w:vAlign w:val="center"/>
                </w:tcPr>
                <w:p w14:paraId="6A018C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68</w:t>
                  </w:r>
                </w:p>
              </w:tc>
              <w:tc>
                <w:tcPr>
                  <w:tcW w:w="346" w:type="pct"/>
                  <w:tcBorders>
                    <w:tl2br w:val="nil"/>
                    <w:tr2bl w:val="nil"/>
                  </w:tcBorders>
                  <w:vAlign w:val="center"/>
                </w:tcPr>
                <w:p w14:paraId="3FB9124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8h</w:t>
                  </w:r>
                </w:p>
              </w:tc>
              <w:tc>
                <w:tcPr>
                  <w:tcW w:w="451" w:type="pct"/>
                  <w:tcBorders>
                    <w:tl2br w:val="nil"/>
                    <w:tr2bl w:val="nil"/>
                  </w:tcBorders>
                  <w:vAlign w:val="center"/>
                </w:tcPr>
                <w:p w14:paraId="490D92C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26</w:t>
                  </w:r>
                </w:p>
              </w:tc>
              <w:tc>
                <w:tcPr>
                  <w:tcW w:w="691" w:type="dxa"/>
                  <w:tcBorders>
                    <w:tl2br w:val="nil"/>
                    <w:tr2bl w:val="nil"/>
                  </w:tcBorders>
                  <w:vAlign w:val="center"/>
                </w:tcPr>
                <w:p w14:paraId="2501761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42</w:t>
                  </w:r>
                </w:p>
              </w:tc>
              <w:tc>
                <w:tcPr>
                  <w:tcW w:w="344" w:type="pct"/>
                  <w:tcBorders>
                    <w:tl2br w:val="nil"/>
                    <w:tr2bl w:val="nil"/>
                  </w:tcBorders>
                  <w:vAlign w:val="center"/>
                </w:tcPr>
                <w:p w14:paraId="6BD80BB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1</w:t>
                  </w:r>
                </w:p>
              </w:tc>
            </w:tr>
            <w:tr w14:paraId="4B705E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98" w:hRule="atLeast"/>
              </w:trPr>
              <w:tc>
                <w:tcPr>
                  <w:tcW w:w="170" w:type="pct"/>
                  <w:vMerge w:val="restart"/>
                  <w:tcBorders>
                    <w:tl2br w:val="nil"/>
                    <w:tr2bl w:val="nil"/>
                  </w:tcBorders>
                  <w:vAlign w:val="center"/>
                </w:tcPr>
                <w:p w14:paraId="09C55AF8">
                  <w:pPr>
                    <w:keepNext w:val="0"/>
                    <w:keepLines w:val="0"/>
                    <w:pageBreakBefore w:val="0"/>
                    <w:numPr>
                      <w:ilvl w:val="0"/>
                      <w:numId w:val="5"/>
                    </w:numPr>
                    <w:kinsoku/>
                    <w:wordWrap/>
                    <w:overflowPunct/>
                    <w:topLinePunct w:val="0"/>
                    <w:autoSpaceDE/>
                    <w:autoSpaceDN/>
                    <w:bidi w:val="0"/>
                    <w:adjustRightInd w:val="0"/>
                    <w:snapToGrid w:val="0"/>
                    <w:spacing w:line="240" w:lineRule="auto"/>
                    <w:ind w:left="425" w:leftChars="0" w:hanging="425" w:firstLineChars="0"/>
                    <w:jc w:val="center"/>
                    <w:rPr>
                      <w:rFonts w:hint="default" w:ascii="Times New Roman" w:hAnsi="Times New Roman" w:eastAsia="宋体" w:cs="Times New Roman"/>
                      <w:color w:val="auto"/>
                      <w:sz w:val="21"/>
                      <w:szCs w:val="21"/>
                      <w:lang w:val="en-US" w:eastAsia="zh-CN"/>
                    </w:rPr>
                  </w:pPr>
                </w:p>
              </w:tc>
              <w:tc>
                <w:tcPr>
                  <w:tcW w:w="253" w:type="pct"/>
                  <w:vMerge w:val="continue"/>
                  <w:tcBorders>
                    <w:tl2br w:val="nil"/>
                    <w:tr2bl w:val="nil"/>
                  </w:tcBorders>
                  <w:vAlign w:val="center"/>
                </w:tcPr>
                <w:p w14:paraId="5C32E32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69" w:type="pct"/>
                  <w:tcBorders>
                    <w:tl2br w:val="nil"/>
                    <w:tr2bl w:val="nil"/>
                  </w:tcBorders>
                  <w:vAlign w:val="center"/>
                </w:tcPr>
                <w:p w14:paraId="3541582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cs="Times New Roman"/>
                      <w:b w:val="0"/>
                      <w:bCs w:val="0"/>
                      <w:color w:val="auto"/>
                      <w:sz w:val="21"/>
                      <w:szCs w:val="21"/>
                      <w:highlight w:val="none"/>
                      <w:lang w:val="en-US" w:eastAsia="zh-CN"/>
                    </w:rPr>
                    <w:t>精滤间</w:t>
                  </w:r>
                </w:p>
              </w:tc>
              <w:tc>
                <w:tcPr>
                  <w:tcW w:w="278" w:type="pct"/>
                  <w:tcBorders>
                    <w:tl2br w:val="nil"/>
                    <w:tr2bl w:val="nil"/>
                  </w:tcBorders>
                  <w:vAlign w:val="center"/>
                </w:tcPr>
                <w:p w14:paraId="2C4503F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cs="Times New Roman"/>
                      <w:color w:val="auto"/>
                      <w:sz w:val="21"/>
                      <w:szCs w:val="21"/>
                      <w:lang w:eastAsia="zh-CN"/>
                    </w:rPr>
                  </w:pPr>
                  <w:r>
                    <w:rPr>
                      <w:rFonts w:hint="eastAsia" w:cs="Times New Roman"/>
                      <w:b w:val="0"/>
                      <w:bCs w:val="0"/>
                      <w:color w:val="auto"/>
                      <w:sz w:val="21"/>
                      <w:szCs w:val="21"/>
                      <w:highlight w:val="none"/>
                      <w:lang w:val="en-US" w:eastAsia="zh-CN"/>
                    </w:rPr>
                    <w:t>四联精密过滤机</w:t>
                  </w:r>
                </w:p>
              </w:tc>
              <w:tc>
                <w:tcPr>
                  <w:tcW w:w="294" w:type="pct"/>
                  <w:tcBorders>
                    <w:tl2br w:val="nil"/>
                    <w:tr2bl w:val="nil"/>
                  </w:tcBorders>
                  <w:vAlign w:val="center"/>
                </w:tcPr>
                <w:p w14:paraId="62DB937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1台</w:t>
                  </w:r>
                </w:p>
              </w:tc>
              <w:tc>
                <w:tcPr>
                  <w:tcW w:w="422" w:type="pct"/>
                  <w:tcBorders>
                    <w:tl2br w:val="nil"/>
                    <w:tr2bl w:val="nil"/>
                  </w:tcBorders>
                  <w:vAlign w:val="center"/>
                </w:tcPr>
                <w:p w14:paraId="6FD7E99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80</w:t>
                  </w:r>
                </w:p>
              </w:tc>
              <w:tc>
                <w:tcPr>
                  <w:tcW w:w="231" w:type="pct"/>
                  <w:vMerge w:val="continue"/>
                  <w:tcBorders>
                    <w:tl2br w:val="nil"/>
                    <w:tr2bl w:val="nil"/>
                  </w:tcBorders>
                  <w:vAlign w:val="center"/>
                </w:tcPr>
                <w:p w14:paraId="45F6A26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42" w:type="pct"/>
                  <w:tcBorders>
                    <w:tl2br w:val="nil"/>
                    <w:tr2bl w:val="nil"/>
                  </w:tcBorders>
                  <w:vAlign w:val="center"/>
                </w:tcPr>
                <w:p w14:paraId="2FF00A4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28</w:t>
                  </w:r>
                </w:p>
              </w:tc>
              <w:tc>
                <w:tcPr>
                  <w:tcW w:w="282" w:type="pct"/>
                  <w:tcBorders>
                    <w:tl2br w:val="nil"/>
                    <w:tr2bl w:val="nil"/>
                  </w:tcBorders>
                  <w:vAlign w:val="center"/>
                </w:tcPr>
                <w:p w14:paraId="0B220E0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12</w:t>
                  </w:r>
                </w:p>
              </w:tc>
              <w:tc>
                <w:tcPr>
                  <w:tcW w:w="282" w:type="pct"/>
                  <w:tcBorders>
                    <w:tl2br w:val="nil"/>
                    <w:tr2bl w:val="nil"/>
                  </w:tcBorders>
                  <w:vAlign w:val="center"/>
                </w:tcPr>
                <w:p w14:paraId="5F7A3E9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0.5</w:t>
                  </w:r>
                </w:p>
              </w:tc>
              <w:tc>
                <w:tcPr>
                  <w:tcW w:w="380" w:type="pct"/>
                  <w:tcBorders>
                    <w:tl2br w:val="nil"/>
                    <w:tr2bl w:val="nil"/>
                  </w:tcBorders>
                  <w:vAlign w:val="center"/>
                </w:tcPr>
                <w:p w14:paraId="40BFF6B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20</w:t>
                  </w:r>
                </w:p>
              </w:tc>
              <w:tc>
                <w:tcPr>
                  <w:tcW w:w="369" w:type="pct"/>
                  <w:tcBorders>
                    <w:tl2br w:val="nil"/>
                    <w:tr2bl w:val="nil"/>
                  </w:tcBorders>
                  <w:vAlign w:val="center"/>
                </w:tcPr>
                <w:p w14:paraId="630C3A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54</w:t>
                  </w:r>
                </w:p>
              </w:tc>
              <w:tc>
                <w:tcPr>
                  <w:tcW w:w="346" w:type="pct"/>
                  <w:tcBorders>
                    <w:tl2br w:val="nil"/>
                    <w:tr2bl w:val="nil"/>
                  </w:tcBorders>
                  <w:vAlign w:val="center"/>
                </w:tcPr>
                <w:p w14:paraId="02D5E54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8h</w:t>
                  </w:r>
                </w:p>
              </w:tc>
              <w:tc>
                <w:tcPr>
                  <w:tcW w:w="451" w:type="pct"/>
                  <w:tcBorders>
                    <w:tl2br w:val="nil"/>
                    <w:tr2bl w:val="nil"/>
                  </w:tcBorders>
                  <w:vAlign w:val="center"/>
                </w:tcPr>
                <w:p w14:paraId="370A0B4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26</w:t>
                  </w:r>
                </w:p>
              </w:tc>
              <w:tc>
                <w:tcPr>
                  <w:tcW w:w="691" w:type="dxa"/>
                  <w:tcBorders>
                    <w:tl2br w:val="nil"/>
                    <w:tr2bl w:val="nil"/>
                  </w:tcBorders>
                  <w:vAlign w:val="center"/>
                </w:tcPr>
                <w:p w14:paraId="0C614B1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28</w:t>
                  </w:r>
                </w:p>
              </w:tc>
              <w:tc>
                <w:tcPr>
                  <w:tcW w:w="344" w:type="pct"/>
                  <w:tcBorders>
                    <w:tl2br w:val="nil"/>
                    <w:tr2bl w:val="nil"/>
                  </w:tcBorders>
                  <w:vAlign w:val="center"/>
                </w:tcPr>
                <w:p w14:paraId="31FBE42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1</w:t>
                  </w:r>
                </w:p>
              </w:tc>
            </w:tr>
            <w:tr w14:paraId="76302D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70" w:type="pct"/>
                  <w:vMerge w:val="continue"/>
                  <w:tcBorders>
                    <w:tl2br w:val="nil"/>
                    <w:tr2bl w:val="nil"/>
                  </w:tcBorders>
                  <w:vAlign w:val="center"/>
                </w:tcPr>
                <w:p w14:paraId="55609909">
                  <w:pPr>
                    <w:keepNext w:val="0"/>
                    <w:keepLines w:val="0"/>
                    <w:pageBreakBefore w:val="0"/>
                    <w:tabs>
                      <w:tab w:val="left" w:pos="420"/>
                    </w:tabs>
                    <w:kinsoku/>
                    <w:wordWrap/>
                    <w:overflowPunct/>
                    <w:topLinePunct w:val="0"/>
                    <w:autoSpaceDE/>
                    <w:autoSpaceDN/>
                    <w:bidi w:val="0"/>
                    <w:adjustRightInd w:val="0"/>
                    <w:snapToGrid w:val="0"/>
                    <w:spacing w:line="240" w:lineRule="auto"/>
                    <w:ind w:left="425" w:leftChars="0" w:hanging="425" w:firstLineChars="0"/>
                    <w:jc w:val="center"/>
                    <w:rPr>
                      <w:rFonts w:hint="default" w:ascii="Times New Roman" w:hAnsi="Times New Roman" w:eastAsia="宋体" w:cs="Times New Roman"/>
                      <w:color w:val="auto"/>
                      <w:sz w:val="21"/>
                      <w:szCs w:val="21"/>
                      <w:lang w:val="en-US" w:eastAsia="zh-CN"/>
                    </w:rPr>
                  </w:pPr>
                </w:p>
              </w:tc>
              <w:tc>
                <w:tcPr>
                  <w:tcW w:w="253" w:type="pct"/>
                  <w:vMerge w:val="continue"/>
                  <w:tcBorders>
                    <w:tl2br w:val="nil"/>
                    <w:tr2bl w:val="nil"/>
                  </w:tcBorders>
                  <w:vAlign w:val="center"/>
                </w:tcPr>
                <w:p w14:paraId="00EF04E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69" w:type="pct"/>
                  <w:tcBorders>
                    <w:tl2br w:val="nil"/>
                    <w:tr2bl w:val="nil"/>
                  </w:tcBorders>
                  <w:vAlign w:val="center"/>
                </w:tcPr>
                <w:p w14:paraId="35B1974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b w:val="0"/>
                      <w:bCs w:val="0"/>
                      <w:color w:val="auto"/>
                      <w:sz w:val="21"/>
                      <w:szCs w:val="21"/>
                      <w:highlight w:val="none"/>
                      <w:lang w:val="en-US" w:eastAsia="zh-CN"/>
                    </w:rPr>
                    <w:t>调配间</w:t>
                  </w:r>
                </w:p>
              </w:tc>
              <w:tc>
                <w:tcPr>
                  <w:tcW w:w="278" w:type="pct"/>
                  <w:tcBorders>
                    <w:tl2br w:val="nil"/>
                    <w:tr2bl w:val="nil"/>
                  </w:tcBorders>
                  <w:vAlign w:val="center"/>
                </w:tcPr>
                <w:p w14:paraId="371E270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b w:val="0"/>
                      <w:bCs w:val="0"/>
                      <w:color w:val="auto"/>
                      <w:sz w:val="21"/>
                      <w:szCs w:val="21"/>
                      <w:highlight w:val="none"/>
                      <w:lang w:val="en-US" w:eastAsia="zh-CN"/>
                    </w:rPr>
                    <w:t>搅拌缸</w:t>
                  </w:r>
                </w:p>
              </w:tc>
              <w:tc>
                <w:tcPr>
                  <w:tcW w:w="294" w:type="pct"/>
                  <w:tcBorders>
                    <w:tl2br w:val="nil"/>
                    <w:tr2bl w:val="nil"/>
                  </w:tcBorders>
                  <w:vAlign w:val="center"/>
                </w:tcPr>
                <w:p w14:paraId="1835DD9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1台</w:t>
                  </w:r>
                </w:p>
              </w:tc>
              <w:tc>
                <w:tcPr>
                  <w:tcW w:w="422" w:type="pct"/>
                  <w:tcBorders>
                    <w:tl2br w:val="nil"/>
                    <w:tr2bl w:val="nil"/>
                  </w:tcBorders>
                  <w:vAlign w:val="center"/>
                </w:tcPr>
                <w:p w14:paraId="59F6948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75</w:t>
                  </w:r>
                </w:p>
              </w:tc>
              <w:tc>
                <w:tcPr>
                  <w:tcW w:w="231" w:type="pct"/>
                  <w:vMerge w:val="continue"/>
                  <w:tcBorders>
                    <w:tl2br w:val="nil"/>
                    <w:tr2bl w:val="nil"/>
                  </w:tcBorders>
                  <w:vAlign w:val="center"/>
                </w:tcPr>
                <w:p w14:paraId="0F67102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42" w:type="pct"/>
                  <w:tcBorders>
                    <w:tl2br w:val="nil"/>
                    <w:tr2bl w:val="nil"/>
                  </w:tcBorders>
                  <w:vAlign w:val="center"/>
                </w:tcPr>
                <w:p w14:paraId="73B293A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22</w:t>
                  </w:r>
                </w:p>
              </w:tc>
              <w:tc>
                <w:tcPr>
                  <w:tcW w:w="282" w:type="pct"/>
                  <w:tcBorders>
                    <w:tl2br w:val="nil"/>
                    <w:tr2bl w:val="nil"/>
                  </w:tcBorders>
                  <w:vAlign w:val="center"/>
                </w:tcPr>
                <w:p w14:paraId="79E2594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w:t>
                  </w:r>
                </w:p>
              </w:tc>
              <w:tc>
                <w:tcPr>
                  <w:tcW w:w="282" w:type="pct"/>
                  <w:tcBorders>
                    <w:tl2br w:val="nil"/>
                    <w:tr2bl w:val="nil"/>
                  </w:tcBorders>
                  <w:vAlign w:val="center"/>
                </w:tcPr>
                <w:p w14:paraId="600C2ED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0.5</w:t>
                  </w:r>
                </w:p>
              </w:tc>
              <w:tc>
                <w:tcPr>
                  <w:tcW w:w="380" w:type="pct"/>
                  <w:tcBorders>
                    <w:tl2br w:val="nil"/>
                    <w:tr2bl w:val="nil"/>
                  </w:tcBorders>
                  <w:vAlign w:val="center"/>
                </w:tcPr>
                <w:p w14:paraId="5DF3EE2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13</w:t>
                  </w:r>
                </w:p>
              </w:tc>
              <w:tc>
                <w:tcPr>
                  <w:tcW w:w="369" w:type="pct"/>
                  <w:tcBorders>
                    <w:tl2br w:val="nil"/>
                    <w:tr2bl w:val="nil"/>
                  </w:tcBorders>
                  <w:vAlign w:val="center"/>
                </w:tcPr>
                <w:p w14:paraId="3C6E158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53</w:t>
                  </w:r>
                </w:p>
              </w:tc>
              <w:tc>
                <w:tcPr>
                  <w:tcW w:w="346" w:type="pct"/>
                  <w:tcBorders>
                    <w:tl2br w:val="nil"/>
                    <w:tr2bl w:val="nil"/>
                  </w:tcBorders>
                  <w:vAlign w:val="center"/>
                </w:tcPr>
                <w:p w14:paraId="6652B49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8h</w:t>
                  </w:r>
                </w:p>
              </w:tc>
              <w:tc>
                <w:tcPr>
                  <w:tcW w:w="451" w:type="pct"/>
                  <w:tcBorders>
                    <w:tl2br w:val="nil"/>
                    <w:tr2bl w:val="nil"/>
                  </w:tcBorders>
                  <w:vAlign w:val="center"/>
                </w:tcPr>
                <w:p w14:paraId="704DABD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26</w:t>
                  </w:r>
                </w:p>
              </w:tc>
              <w:tc>
                <w:tcPr>
                  <w:tcW w:w="691" w:type="dxa"/>
                  <w:tcBorders>
                    <w:tl2br w:val="nil"/>
                    <w:tr2bl w:val="nil"/>
                  </w:tcBorders>
                  <w:vAlign w:val="center"/>
                </w:tcPr>
                <w:p w14:paraId="7FE2465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27</w:t>
                  </w:r>
                </w:p>
              </w:tc>
              <w:tc>
                <w:tcPr>
                  <w:tcW w:w="344" w:type="pct"/>
                  <w:tcBorders>
                    <w:tl2br w:val="nil"/>
                    <w:tr2bl w:val="nil"/>
                  </w:tcBorders>
                  <w:vAlign w:val="center"/>
                </w:tcPr>
                <w:p w14:paraId="59749CA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r>
            <w:tr w14:paraId="69CC15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 w:type="pct"/>
                  <w:tcBorders>
                    <w:tl2br w:val="nil"/>
                    <w:tr2bl w:val="nil"/>
                  </w:tcBorders>
                  <w:vAlign w:val="center"/>
                </w:tcPr>
                <w:p w14:paraId="28CC4D99">
                  <w:pPr>
                    <w:keepNext w:val="0"/>
                    <w:keepLines w:val="0"/>
                    <w:pageBreakBefore w:val="0"/>
                    <w:tabs>
                      <w:tab w:val="left" w:pos="420"/>
                    </w:tabs>
                    <w:kinsoku/>
                    <w:wordWrap/>
                    <w:overflowPunct/>
                    <w:topLinePunct w:val="0"/>
                    <w:autoSpaceDE/>
                    <w:autoSpaceDN/>
                    <w:bidi w:val="0"/>
                    <w:adjustRightInd w:val="0"/>
                    <w:snapToGrid w:val="0"/>
                    <w:spacing w:line="240" w:lineRule="auto"/>
                    <w:ind w:left="425" w:leftChars="0" w:hanging="425"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w:t>
                  </w:r>
                </w:p>
              </w:tc>
              <w:tc>
                <w:tcPr>
                  <w:tcW w:w="253" w:type="pct"/>
                  <w:vMerge w:val="continue"/>
                  <w:tcBorders>
                    <w:tl2br w:val="nil"/>
                    <w:tr2bl w:val="nil"/>
                  </w:tcBorders>
                  <w:vAlign w:val="center"/>
                </w:tcPr>
                <w:p w14:paraId="2D3AB9E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69" w:type="pct"/>
                  <w:vMerge w:val="restart"/>
                  <w:tcBorders>
                    <w:tl2br w:val="nil"/>
                    <w:tr2bl w:val="nil"/>
                  </w:tcBorders>
                  <w:vAlign w:val="center"/>
                </w:tcPr>
                <w:p w14:paraId="5983DAC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b w:val="0"/>
                      <w:bCs w:val="0"/>
                      <w:color w:val="auto"/>
                      <w:sz w:val="21"/>
                      <w:szCs w:val="21"/>
                      <w:highlight w:val="none"/>
                      <w:lang w:val="en-US" w:eastAsia="zh-CN"/>
                    </w:rPr>
                    <w:t>灌装间</w:t>
                  </w:r>
                </w:p>
              </w:tc>
              <w:tc>
                <w:tcPr>
                  <w:tcW w:w="278" w:type="pct"/>
                  <w:tcBorders>
                    <w:tl2br w:val="nil"/>
                    <w:tr2bl w:val="nil"/>
                  </w:tcBorders>
                  <w:vAlign w:val="center"/>
                </w:tcPr>
                <w:p w14:paraId="3B2F654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b w:val="0"/>
                      <w:bCs w:val="0"/>
                      <w:color w:val="auto"/>
                      <w:sz w:val="21"/>
                      <w:szCs w:val="21"/>
                      <w:highlight w:val="none"/>
                      <w:lang w:val="en-US" w:eastAsia="zh-CN"/>
                    </w:rPr>
                    <w:t>灌装机</w:t>
                  </w:r>
                </w:p>
              </w:tc>
              <w:tc>
                <w:tcPr>
                  <w:tcW w:w="294" w:type="pct"/>
                  <w:tcBorders>
                    <w:tl2br w:val="nil"/>
                    <w:tr2bl w:val="nil"/>
                  </w:tcBorders>
                  <w:vAlign w:val="center"/>
                </w:tcPr>
                <w:p w14:paraId="7E5826E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1台</w:t>
                  </w:r>
                </w:p>
              </w:tc>
              <w:tc>
                <w:tcPr>
                  <w:tcW w:w="422" w:type="pct"/>
                  <w:tcBorders>
                    <w:tl2br w:val="nil"/>
                    <w:tr2bl w:val="nil"/>
                  </w:tcBorders>
                  <w:vAlign w:val="center"/>
                </w:tcPr>
                <w:p w14:paraId="4E8F8B7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85</w:t>
                  </w:r>
                </w:p>
              </w:tc>
              <w:tc>
                <w:tcPr>
                  <w:tcW w:w="231" w:type="pct"/>
                  <w:vMerge w:val="continue"/>
                  <w:tcBorders>
                    <w:tl2br w:val="nil"/>
                    <w:tr2bl w:val="nil"/>
                  </w:tcBorders>
                  <w:vAlign w:val="center"/>
                </w:tcPr>
                <w:p w14:paraId="6F5B01A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42" w:type="pct"/>
                  <w:tcBorders>
                    <w:tl2br w:val="nil"/>
                    <w:tr2bl w:val="nil"/>
                  </w:tcBorders>
                  <w:vAlign w:val="center"/>
                </w:tcPr>
                <w:p w14:paraId="494C44F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34</w:t>
                  </w:r>
                </w:p>
              </w:tc>
              <w:tc>
                <w:tcPr>
                  <w:tcW w:w="282" w:type="pct"/>
                  <w:tcBorders>
                    <w:tl2br w:val="nil"/>
                    <w:tr2bl w:val="nil"/>
                  </w:tcBorders>
                  <w:vAlign w:val="center"/>
                </w:tcPr>
                <w:p w14:paraId="12C3417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21</w:t>
                  </w:r>
                </w:p>
              </w:tc>
              <w:tc>
                <w:tcPr>
                  <w:tcW w:w="282" w:type="pct"/>
                  <w:tcBorders>
                    <w:tl2br w:val="nil"/>
                    <w:tr2bl w:val="nil"/>
                  </w:tcBorders>
                  <w:vAlign w:val="center"/>
                </w:tcPr>
                <w:p w14:paraId="78746A1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4.5</w:t>
                  </w:r>
                </w:p>
              </w:tc>
              <w:tc>
                <w:tcPr>
                  <w:tcW w:w="380" w:type="pct"/>
                  <w:tcBorders>
                    <w:tl2br w:val="nil"/>
                    <w:tr2bl w:val="nil"/>
                  </w:tcBorders>
                  <w:vAlign w:val="center"/>
                </w:tcPr>
                <w:p w14:paraId="1F37CF9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6</w:t>
                  </w:r>
                </w:p>
              </w:tc>
              <w:tc>
                <w:tcPr>
                  <w:tcW w:w="369" w:type="pct"/>
                  <w:tcBorders>
                    <w:tl2br w:val="nil"/>
                    <w:tr2bl w:val="nil"/>
                  </w:tcBorders>
                  <w:vAlign w:val="center"/>
                </w:tcPr>
                <w:p w14:paraId="3EB4A99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69</w:t>
                  </w:r>
                </w:p>
              </w:tc>
              <w:tc>
                <w:tcPr>
                  <w:tcW w:w="346" w:type="pct"/>
                  <w:vMerge w:val="restart"/>
                  <w:tcBorders>
                    <w:tl2br w:val="nil"/>
                    <w:tr2bl w:val="nil"/>
                  </w:tcBorders>
                  <w:vAlign w:val="center"/>
                </w:tcPr>
                <w:p w14:paraId="76F6AD4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8h</w:t>
                  </w:r>
                </w:p>
              </w:tc>
              <w:tc>
                <w:tcPr>
                  <w:tcW w:w="451" w:type="pct"/>
                  <w:tcBorders>
                    <w:tl2br w:val="nil"/>
                    <w:tr2bl w:val="nil"/>
                  </w:tcBorders>
                  <w:vAlign w:val="center"/>
                </w:tcPr>
                <w:p w14:paraId="06518B5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26</w:t>
                  </w:r>
                </w:p>
              </w:tc>
              <w:tc>
                <w:tcPr>
                  <w:tcW w:w="691" w:type="dxa"/>
                  <w:tcBorders>
                    <w:tl2br w:val="nil"/>
                    <w:tr2bl w:val="nil"/>
                  </w:tcBorders>
                  <w:vAlign w:val="center"/>
                </w:tcPr>
                <w:p w14:paraId="776C79F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43</w:t>
                  </w:r>
                </w:p>
              </w:tc>
              <w:tc>
                <w:tcPr>
                  <w:tcW w:w="344" w:type="pct"/>
                  <w:tcBorders>
                    <w:tl2br w:val="nil"/>
                    <w:tr2bl w:val="nil"/>
                  </w:tcBorders>
                  <w:vAlign w:val="center"/>
                </w:tcPr>
                <w:p w14:paraId="6B3DFA3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r>
            <w:tr w14:paraId="3D8B01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 w:type="pct"/>
                  <w:tcBorders>
                    <w:tl2br w:val="nil"/>
                    <w:tr2bl w:val="nil"/>
                  </w:tcBorders>
                  <w:vAlign w:val="center"/>
                </w:tcPr>
                <w:p w14:paraId="66B97BFD">
                  <w:pPr>
                    <w:keepNext w:val="0"/>
                    <w:keepLines w:val="0"/>
                    <w:pageBreakBefore w:val="0"/>
                    <w:tabs>
                      <w:tab w:val="left" w:pos="420"/>
                    </w:tabs>
                    <w:kinsoku/>
                    <w:wordWrap/>
                    <w:overflowPunct/>
                    <w:topLinePunct w:val="0"/>
                    <w:autoSpaceDE/>
                    <w:autoSpaceDN/>
                    <w:bidi w:val="0"/>
                    <w:adjustRightInd w:val="0"/>
                    <w:snapToGrid w:val="0"/>
                    <w:spacing w:line="240" w:lineRule="auto"/>
                    <w:ind w:left="425" w:leftChars="0" w:hanging="425"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w:t>
                  </w:r>
                </w:p>
              </w:tc>
              <w:tc>
                <w:tcPr>
                  <w:tcW w:w="253" w:type="pct"/>
                  <w:vMerge w:val="continue"/>
                  <w:tcBorders>
                    <w:tl2br w:val="nil"/>
                    <w:tr2bl w:val="nil"/>
                  </w:tcBorders>
                  <w:vAlign w:val="center"/>
                </w:tcPr>
                <w:p w14:paraId="64E30AA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69" w:type="pct"/>
                  <w:vMerge w:val="continue"/>
                  <w:tcBorders>
                    <w:tl2br w:val="nil"/>
                    <w:tr2bl w:val="nil"/>
                  </w:tcBorders>
                  <w:vAlign w:val="center"/>
                </w:tcPr>
                <w:p w14:paraId="564DEAB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78" w:type="pct"/>
                  <w:tcBorders>
                    <w:tl2br w:val="nil"/>
                    <w:tr2bl w:val="nil"/>
                  </w:tcBorders>
                  <w:vAlign w:val="center"/>
                </w:tcPr>
                <w:p w14:paraId="699CDF7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自动打塞机</w:t>
                  </w:r>
                </w:p>
              </w:tc>
              <w:tc>
                <w:tcPr>
                  <w:tcW w:w="294" w:type="pct"/>
                  <w:tcBorders>
                    <w:tl2br w:val="nil"/>
                    <w:tr2bl w:val="nil"/>
                  </w:tcBorders>
                  <w:vAlign w:val="center"/>
                </w:tcPr>
                <w:p w14:paraId="1402839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1台</w:t>
                  </w:r>
                </w:p>
              </w:tc>
              <w:tc>
                <w:tcPr>
                  <w:tcW w:w="422" w:type="pct"/>
                  <w:tcBorders>
                    <w:tl2br w:val="nil"/>
                    <w:tr2bl w:val="nil"/>
                  </w:tcBorders>
                  <w:vAlign w:val="center"/>
                </w:tcPr>
                <w:p w14:paraId="78FFB86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85</w:t>
                  </w:r>
                </w:p>
              </w:tc>
              <w:tc>
                <w:tcPr>
                  <w:tcW w:w="231" w:type="pct"/>
                  <w:vMerge w:val="continue"/>
                  <w:tcBorders>
                    <w:tl2br w:val="nil"/>
                    <w:tr2bl w:val="nil"/>
                  </w:tcBorders>
                  <w:vAlign w:val="center"/>
                </w:tcPr>
                <w:p w14:paraId="287C5BF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42" w:type="pct"/>
                  <w:tcBorders>
                    <w:tl2br w:val="nil"/>
                    <w:tr2bl w:val="nil"/>
                  </w:tcBorders>
                  <w:vAlign w:val="center"/>
                </w:tcPr>
                <w:p w14:paraId="657B150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34</w:t>
                  </w:r>
                </w:p>
              </w:tc>
              <w:tc>
                <w:tcPr>
                  <w:tcW w:w="282" w:type="pct"/>
                  <w:tcBorders>
                    <w:tl2br w:val="nil"/>
                    <w:tr2bl w:val="nil"/>
                  </w:tcBorders>
                  <w:vAlign w:val="center"/>
                </w:tcPr>
                <w:p w14:paraId="2630AC9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22</w:t>
                  </w:r>
                </w:p>
              </w:tc>
              <w:tc>
                <w:tcPr>
                  <w:tcW w:w="282" w:type="pct"/>
                  <w:tcBorders>
                    <w:tl2br w:val="nil"/>
                    <w:tr2bl w:val="nil"/>
                  </w:tcBorders>
                  <w:vAlign w:val="center"/>
                </w:tcPr>
                <w:p w14:paraId="102CB9C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4.5</w:t>
                  </w:r>
                </w:p>
              </w:tc>
              <w:tc>
                <w:tcPr>
                  <w:tcW w:w="380" w:type="pct"/>
                  <w:tcBorders>
                    <w:tl2br w:val="nil"/>
                    <w:tr2bl w:val="nil"/>
                  </w:tcBorders>
                  <w:vAlign w:val="center"/>
                </w:tcPr>
                <w:p w14:paraId="7DA8604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6</w:t>
                  </w:r>
                </w:p>
              </w:tc>
              <w:tc>
                <w:tcPr>
                  <w:tcW w:w="369" w:type="pct"/>
                  <w:tcBorders>
                    <w:tl2br w:val="nil"/>
                    <w:tr2bl w:val="nil"/>
                  </w:tcBorders>
                  <w:vAlign w:val="center"/>
                </w:tcPr>
                <w:p w14:paraId="23C7A3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69</w:t>
                  </w:r>
                </w:p>
              </w:tc>
              <w:tc>
                <w:tcPr>
                  <w:tcW w:w="346" w:type="pct"/>
                  <w:vMerge w:val="continue"/>
                  <w:tcBorders>
                    <w:tl2br w:val="nil"/>
                    <w:tr2bl w:val="nil"/>
                  </w:tcBorders>
                  <w:vAlign w:val="center"/>
                </w:tcPr>
                <w:p w14:paraId="5D2693A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451" w:type="pct"/>
                  <w:tcBorders>
                    <w:tl2br w:val="nil"/>
                    <w:tr2bl w:val="nil"/>
                  </w:tcBorders>
                  <w:vAlign w:val="center"/>
                </w:tcPr>
                <w:p w14:paraId="7908E43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26</w:t>
                  </w:r>
                </w:p>
              </w:tc>
              <w:tc>
                <w:tcPr>
                  <w:tcW w:w="691" w:type="dxa"/>
                  <w:tcBorders>
                    <w:tl2br w:val="nil"/>
                    <w:tr2bl w:val="nil"/>
                  </w:tcBorders>
                  <w:vAlign w:val="center"/>
                </w:tcPr>
                <w:p w14:paraId="0361849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43</w:t>
                  </w:r>
                </w:p>
              </w:tc>
              <w:tc>
                <w:tcPr>
                  <w:tcW w:w="344" w:type="pct"/>
                  <w:tcBorders>
                    <w:tl2br w:val="nil"/>
                    <w:tr2bl w:val="nil"/>
                  </w:tcBorders>
                  <w:vAlign w:val="center"/>
                </w:tcPr>
                <w:p w14:paraId="1DF67F5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r>
            <w:tr w14:paraId="7A7B2E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 w:type="pct"/>
                  <w:tcBorders>
                    <w:tl2br w:val="nil"/>
                    <w:tr2bl w:val="nil"/>
                  </w:tcBorders>
                  <w:vAlign w:val="center"/>
                </w:tcPr>
                <w:p w14:paraId="5110F6ED">
                  <w:pPr>
                    <w:keepNext w:val="0"/>
                    <w:keepLines w:val="0"/>
                    <w:pageBreakBefore w:val="0"/>
                    <w:tabs>
                      <w:tab w:val="left" w:pos="420"/>
                    </w:tabs>
                    <w:kinsoku/>
                    <w:wordWrap/>
                    <w:overflowPunct/>
                    <w:topLinePunct w:val="0"/>
                    <w:autoSpaceDE/>
                    <w:autoSpaceDN/>
                    <w:bidi w:val="0"/>
                    <w:adjustRightInd w:val="0"/>
                    <w:snapToGrid w:val="0"/>
                    <w:spacing w:line="240" w:lineRule="auto"/>
                    <w:ind w:left="425" w:leftChars="0" w:hanging="425"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w:t>
                  </w:r>
                </w:p>
              </w:tc>
              <w:tc>
                <w:tcPr>
                  <w:tcW w:w="522" w:type="pct"/>
                  <w:gridSpan w:val="2"/>
                  <w:tcBorders>
                    <w:tl2br w:val="nil"/>
                    <w:tr2bl w:val="nil"/>
                  </w:tcBorders>
                  <w:vAlign w:val="center"/>
                </w:tcPr>
                <w:p w14:paraId="31BD6D4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b w:val="0"/>
                      <w:bCs w:val="0"/>
                      <w:color w:val="auto"/>
                      <w:sz w:val="21"/>
                      <w:szCs w:val="21"/>
                      <w:highlight w:val="none"/>
                      <w:lang w:val="en-US" w:eastAsia="zh-CN"/>
                    </w:rPr>
                    <w:t>水处理间</w:t>
                  </w:r>
                </w:p>
              </w:tc>
              <w:tc>
                <w:tcPr>
                  <w:tcW w:w="278" w:type="pct"/>
                  <w:tcBorders>
                    <w:tl2br w:val="nil"/>
                    <w:tr2bl w:val="nil"/>
                  </w:tcBorders>
                  <w:vAlign w:val="center"/>
                </w:tcPr>
                <w:p w14:paraId="4A00A4B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水处理设备</w:t>
                  </w:r>
                </w:p>
              </w:tc>
              <w:tc>
                <w:tcPr>
                  <w:tcW w:w="294" w:type="pct"/>
                  <w:tcBorders>
                    <w:tl2br w:val="nil"/>
                    <w:tr2bl w:val="nil"/>
                  </w:tcBorders>
                  <w:vAlign w:val="center"/>
                </w:tcPr>
                <w:p w14:paraId="69784AA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1套</w:t>
                  </w:r>
                </w:p>
              </w:tc>
              <w:tc>
                <w:tcPr>
                  <w:tcW w:w="422" w:type="pct"/>
                  <w:tcBorders>
                    <w:tl2br w:val="nil"/>
                    <w:tr2bl w:val="nil"/>
                  </w:tcBorders>
                  <w:vAlign w:val="center"/>
                </w:tcPr>
                <w:p w14:paraId="7A78A26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85</w:t>
                  </w:r>
                </w:p>
              </w:tc>
              <w:tc>
                <w:tcPr>
                  <w:tcW w:w="231" w:type="pct"/>
                  <w:vMerge w:val="continue"/>
                  <w:tcBorders>
                    <w:tl2br w:val="nil"/>
                    <w:tr2bl w:val="nil"/>
                  </w:tcBorders>
                  <w:vAlign w:val="center"/>
                </w:tcPr>
                <w:p w14:paraId="153514E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42" w:type="pct"/>
                  <w:tcBorders>
                    <w:tl2br w:val="nil"/>
                    <w:tr2bl w:val="nil"/>
                  </w:tcBorders>
                  <w:vAlign w:val="center"/>
                </w:tcPr>
                <w:p w14:paraId="2BF21D5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w:t>
                  </w:r>
                </w:p>
              </w:tc>
              <w:tc>
                <w:tcPr>
                  <w:tcW w:w="282" w:type="pct"/>
                  <w:tcBorders>
                    <w:tl2br w:val="nil"/>
                    <w:tr2bl w:val="nil"/>
                  </w:tcBorders>
                  <w:vAlign w:val="center"/>
                </w:tcPr>
                <w:p w14:paraId="3ECEA68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35</w:t>
                  </w:r>
                </w:p>
              </w:tc>
              <w:tc>
                <w:tcPr>
                  <w:tcW w:w="282" w:type="pct"/>
                  <w:tcBorders>
                    <w:tl2br w:val="nil"/>
                    <w:tr2bl w:val="nil"/>
                  </w:tcBorders>
                  <w:vAlign w:val="center"/>
                </w:tcPr>
                <w:p w14:paraId="34DCAF3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0.5</w:t>
                  </w:r>
                </w:p>
              </w:tc>
              <w:tc>
                <w:tcPr>
                  <w:tcW w:w="380" w:type="pct"/>
                  <w:tcBorders>
                    <w:tl2br w:val="nil"/>
                    <w:tr2bl w:val="nil"/>
                  </w:tcBorders>
                  <w:vAlign w:val="center"/>
                </w:tcPr>
                <w:p w14:paraId="108ABEF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10</w:t>
                  </w:r>
                </w:p>
              </w:tc>
              <w:tc>
                <w:tcPr>
                  <w:tcW w:w="369" w:type="pct"/>
                  <w:tcBorders>
                    <w:tl2br w:val="nil"/>
                    <w:tr2bl w:val="nil"/>
                  </w:tcBorders>
                  <w:vAlign w:val="center"/>
                </w:tcPr>
                <w:p w14:paraId="7259C3A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65</w:t>
                  </w:r>
                </w:p>
              </w:tc>
              <w:tc>
                <w:tcPr>
                  <w:tcW w:w="346" w:type="pct"/>
                  <w:tcBorders>
                    <w:tl2br w:val="nil"/>
                    <w:tr2bl w:val="nil"/>
                  </w:tcBorders>
                  <w:vAlign w:val="center"/>
                </w:tcPr>
                <w:p w14:paraId="262013D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24h</w:t>
                  </w:r>
                </w:p>
              </w:tc>
              <w:tc>
                <w:tcPr>
                  <w:tcW w:w="451" w:type="pct"/>
                  <w:tcBorders>
                    <w:tl2br w:val="nil"/>
                    <w:tr2bl w:val="nil"/>
                  </w:tcBorders>
                  <w:vAlign w:val="center"/>
                </w:tcPr>
                <w:p w14:paraId="6038535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26</w:t>
                  </w:r>
                </w:p>
              </w:tc>
              <w:tc>
                <w:tcPr>
                  <w:tcW w:w="691" w:type="dxa"/>
                  <w:tcBorders>
                    <w:tl2br w:val="nil"/>
                    <w:tr2bl w:val="nil"/>
                  </w:tcBorders>
                  <w:vAlign w:val="center"/>
                </w:tcPr>
                <w:p w14:paraId="10CB44B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39</w:t>
                  </w:r>
                </w:p>
              </w:tc>
              <w:tc>
                <w:tcPr>
                  <w:tcW w:w="344" w:type="pct"/>
                  <w:tcBorders>
                    <w:tl2br w:val="nil"/>
                    <w:tr2bl w:val="nil"/>
                  </w:tcBorders>
                  <w:vAlign w:val="center"/>
                </w:tcPr>
                <w:p w14:paraId="54E9E7C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r>
            <w:tr w14:paraId="6836D9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000" w:type="pct"/>
                  <w:gridSpan w:val="16"/>
                  <w:tcBorders>
                    <w:tl2br w:val="nil"/>
                    <w:tr2bl w:val="nil"/>
                  </w:tcBorders>
                  <w:vAlign w:val="center"/>
                </w:tcPr>
                <w:p w14:paraId="32F2BDF6">
                  <w:pPr>
                    <w:keepNext w:val="0"/>
                    <w:keepLines w:val="0"/>
                    <w:pageBreakBefore w:val="0"/>
                    <w:kinsoku/>
                    <w:wordWrap/>
                    <w:overflowPunct/>
                    <w:topLinePunct w:val="0"/>
                    <w:autoSpaceDE/>
                    <w:autoSpaceDN/>
                    <w:bidi w:val="0"/>
                    <w:adjustRightInd w:val="0"/>
                    <w:snapToGrid w:val="0"/>
                    <w:spacing w:line="240" w:lineRule="auto"/>
                    <w:ind w:firstLine="0" w:firstLineChars="0"/>
                    <w:jc w:val="left"/>
                    <w:rPr>
                      <w:rFonts w:hint="eastAsia" w:cs="Times New Roman"/>
                      <w:b/>
                      <w:bCs/>
                      <w:color w:val="auto"/>
                      <w:sz w:val="21"/>
                      <w:szCs w:val="21"/>
                      <w:lang w:val="en-US" w:eastAsia="zh-CN"/>
                    </w:rPr>
                  </w:pPr>
                  <w:r>
                    <w:rPr>
                      <w:rFonts w:hint="default" w:ascii="Times New Roman" w:hAnsi="Times New Roman" w:eastAsia="宋体" w:cs="Times New Roman"/>
                      <w:b/>
                      <w:bCs/>
                      <w:color w:val="auto"/>
                      <w:sz w:val="21"/>
                      <w:szCs w:val="21"/>
                      <w:lang w:eastAsia="zh-CN"/>
                    </w:rPr>
                    <w:t>备注：</w:t>
                  </w:r>
                  <w:r>
                    <w:rPr>
                      <w:rFonts w:hint="eastAsia" w:cs="Times New Roman"/>
                      <w:b/>
                      <w:bCs/>
                      <w:color w:val="auto"/>
                      <w:sz w:val="21"/>
                      <w:szCs w:val="21"/>
                      <w:lang w:eastAsia="zh-CN"/>
                    </w:rPr>
                    <w:t>（</w:t>
                  </w:r>
                  <w:r>
                    <w:rPr>
                      <w:rFonts w:hint="eastAsia" w:cs="Times New Roman"/>
                      <w:b/>
                      <w:bCs/>
                      <w:color w:val="auto"/>
                      <w:sz w:val="21"/>
                      <w:szCs w:val="21"/>
                      <w:lang w:val="en-US" w:eastAsia="zh-CN"/>
                    </w:rPr>
                    <w:t>1</w:t>
                  </w:r>
                  <w:r>
                    <w:rPr>
                      <w:rFonts w:hint="eastAsia" w:cs="Times New Roman"/>
                      <w:b/>
                      <w:bCs/>
                      <w:color w:val="auto"/>
                      <w:sz w:val="21"/>
                      <w:szCs w:val="21"/>
                      <w:lang w:eastAsia="zh-CN"/>
                    </w:rPr>
                    <w:t>）</w:t>
                  </w:r>
                  <w:r>
                    <w:rPr>
                      <w:rFonts w:hint="default" w:ascii="Times New Roman" w:hAnsi="Times New Roman" w:eastAsia="宋体" w:cs="Times New Roman"/>
                      <w:b/>
                      <w:bCs/>
                      <w:color w:val="auto"/>
                      <w:sz w:val="21"/>
                      <w:szCs w:val="21"/>
                      <w:lang w:eastAsia="zh-CN"/>
                    </w:rPr>
                    <w:t>空间相对位置</w:t>
                  </w:r>
                  <w:r>
                    <w:rPr>
                      <w:rFonts w:hint="eastAsia" w:cs="Times New Roman"/>
                      <w:b/>
                      <w:bCs/>
                      <w:color w:val="auto"/>
                      <w:sz w:val="21"/>
                      <w:szCs w:val="21"/>
                      <w:lang w:eastAsia="zh-CN"/>
                    </w:rPr>
                    <w:t>以大厂区</w:t>
                  </w:r>
                  <w:r>
                    <w:rPr>
                      <w:rFonts w:hint="default" w:ascii="Times New Roman" w:hAnsi="Times New Roman" w:eastAsia="宋体" w:cs="Times New Roman"/>
                      <w:b/>
                      <w:bCs/>
                      <w:color w:val="auto"/>
                      <w:sz w:val="21"/>
                      <w:szCs w:val="21"/>
                      <w:lang w:eastAsia="zh-CN"/>
                    </w:rPr>
                    <w:t>西南角作为原点坐标</w:t>
                  </w:r>
                  <w:r>
                    <w:rPr>
                      <w:rFonts w:hint="eastAsia" w:cs="Times New Roman"/>
                      <w:b/>
                      <w:bCs/>
                      <w:color w:val="auto"/>
                      <w:sz w:val="21"/>
                      <w:szCs w:val="21"/>
                      <w:lang w:val="en-US" w:eastAsia="zh-CN"/>
                    </w:rPr>
                    <w:t>。</w:t>
                  </w:r>
                </w:p>
                <w:p w14:paraId="01D3E6B9">
                  <w:pPr>
                    <w:keepNext w:val="0"/>
                    <w:keepLines w:val="0"/>
                    <w:pageBreakBefore w:val="0"/>
                    <w:kinsoku/>
                    <w:wordWrap/>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z w:val="21"/>
                      <w:szCs w:val="21"/>
                    </w:rPr>
                  </w:pPr>
                  <w:r>
                    <w:rPr>
                      <w:rFonts w:hint="eastAsia" w:cs="Times New Roman"/>
                      <w:b/>
                      <w:bCs/>
                      <w:color w:val="auto"/>
                      <w:sz w:val="21"/>
                      <w:szCs w:val="21"/>
                      <w:lang w:val="en-US" w:eastAsia="zh-CN"/>
                    </w:rPr>
                    <w:t>（2）</w:t>
                  </w:r>
                  <w:r>
                    <w:rPr>
                      <w:rFonts w:hint="default" w:ascii="Times New Roman" w:hAnsi="Times New Roman" w:eastAsia="宋体" w:cs="Times New Roman"/>
                      <w:b/>
                      <w:bCs/>
                      <w:color w:val="auto"/>
                      <w:sz w:val="21"/>
                      <w:szCs w:val="21"/>
                      <w:lang w:eastAsia="zh-CN"/>
                    </w:rPr>
                    <w:t>本项目</w:t>
                  </w:r>
                  <w:r>
                    <w:rPr>
                      <w:rFonts w:hint="eastAsia" w:cs="Times New Roman"/>
                      <w:b/>
                      <w:bCs/>
                      <w:color w:val="auto"/>
                      <w:sz w:val="21"/>
                      <w:szCs w:val="21"/>
                      <w:lang w:eastAsia="zh-CN"/>
                    </w:rPr>
                    <w:t>灌装间、调配间、发酵间等均为密闭车间，且均布设于标准厂房内部，</w:t>
                  </w:r>
                  <w:r>
                    <w:rPr>
                      <w:rFonts w:hint="eastAsia" w:cs="Times New Roman"/>
                      <w:b/>
                      <w:bCs/>
                      <w:color w:val="auto"/>
                      <w:sz w:val="21"/>
                      <w:szCs w:val="21"/>
                      <w:lang w:val="en-US" w:eastAsia="zh-CN"/>
                    </w:rPr>
                    <w:t>生产车间及标准厂房</w:t>
                  </w:r>
                  <w:r>
                    <w:rPr>
                      <w:rFonts w:hint="default" w:ascii="Times New Roman" w:hAnsi="Times New Roman" w:eastAsia="宋体" w:cs="Times New Roman"/>
                      <w:b/>
                      <w:bCs/>
                      <w:color w:val="auto"/>
                      <w:sz w:val="21"/>
                      <w:szCs w:val="21"/>
                      <w:lang w:val="en-US" w:eastAsia="zh-CN"/>
                    </w:rPr>
                    <w:t>的隔声降噪量</w:t>
                  </w:r>
                  <w:r>
                    <w:rPr>
                      <w:rFonts w:hint="eastAsia" w:cs="Times New Roman"/>
                      <w:b/>
                      <w:bCs/>
                      <w:color w:val="auto"/>
                      <w:sz w:val="21"/>
                      <w:szCs w:val="21"/>
                      <w:lang w:val="en-US" w:eastAsia="zh-CN"/>
                    </w:rPr>
                    <w:t>保守考虑</w:t>
                  </w:r>
                  <w:r>
                    <w:rPr>
                      <w:rFonts w:hint="default" w:ascii="Times New Roman" w:hAnsi="Times New Roman" w:eastAsia="宋体" w:cs="Times New Roman"/>
                      <w:b/>
                      <w:bCs/>
                      <w:color w:val="auto"/>
                      <w:sz w:val="21"/>
                      <w:szCs w:val="21"/>
                      <w:lang w:val="en-US" w:eastAsia="zh-CN"/>
                    </w:rPr>
                    <w:t>取</w:t>
                  </w:r>
                  <w:r>
                    <w:rPr>
                      <w:rFonts w:hint="eastAsia" w:cs="Times New Roman"/>
                      <w:b/>
                      <w:bCs/>
                      <w:color w:val="auto"/>
                      <w:sz w:val="21"/>
                      <w:szCs w:val="21"/>
                      <w:lang w:val="en-US" w:eastAsia="zh-CN"/>
                    </w:rPr>
                    <w:t>值20</w:t>
                  </w:r>
                  <w:r>
                    <w:rPr>
                      <w:rFonts w:hint="default" w:ascii="Times New Roman" w:hAnsi="Times New Roman" w:eastAsia="宋体" w:cs="Times New Roman"/>
                      <w:b/>
                      <w:bCs/>
                      <w:color w:val="auto"/>
                      <w:sz w:val="21"/>
                      <w:szCs w:val="21"/>
                      <w:lang w:val="en-US" w:eastAsia="zh-CN"/>
                    </w:rPr>
                    <w:t>B(A)，建筑物插入损失=TL+6</w:t>
                  </w:r>
                  <w:r>
                    <w:rPr>
                      <w:rFonts w:hint="eastAsia" w:cs="Times New Roman"/>
                      <w:b/>
                      <w:bCs/>
                      <w:color w:val="auto"/>
                      <w:sz w:val="21"/>
                      <w:szCs w:val="21"/>
                      <w:lang w:val="en-US" w:eastAsia="zh-CN"/>
                    </w:rPr>
                    <w:t>=20+6=26d</w:t>
                  </w:r>
                  <w:r>
                    <w:rPr>
                      <w:rFonts w:hint="default" w:ascii="Times New Roman" w:hAnsi="Times New Roman" w:eastAsia="宋体" w:cs="Times New Roman"/>
                      <w:b/>
                      <w:bCs/>
                      <w:color w:val="auto"/>
                      <w:sz w:val="21"/>
                      <w:szCs w:val="21"/>
                      <w:lang w:val="en-US" w:eastAsia="zh-CN"/>
                    </w:rPr>
                    <w:t>B(A)。</w:t>
                  </w:r>
                </w:p>
              </w:tc>
            </w:tr>
          </w:tbl>
          <w:p w14:paraId="6FEB893A">
            <w:pPr>
              <w:spacing w:line="360" w:lineRule="auto"/>
              <w:ind w:firstLine="482" w:firstLineChars="200"/>
              <w:rPr>
                <w:b/>
                <w:color w:val="auto"/>
                <w:sz w:val="24"/>
                <w:szCs w:val="24"/>
              </w:rPr>
            </w:pPr>
            <w:r>
              <w:rPr>
                <w:b/>
                <w:color w:val="auto"/>
                <w:sz w:val="24"/>
                <w:szCs w:val="24"/>
              </w:rPr>
              <w:t>4</w:t>
            </w:r>
            <w:r>
              <w:rPr>
                <w:rFonts w:hint="eastAsia"/>
                <w:b/>
                <w:color w:val="auto"/>
                <w:sz w:val="24"/>
                <w:szCs w:val="24"/>
                <w:lang w:val="en-US" w:eastAsia="zh-CN"/>
              </w:rPr>
              <w:t>.4</w:t>
            </w:r>
            <w:r>
              <w:rPr>
                <w:rFonts w:hint="eastAsia"/>
                <w:b/>
                <w:color w:val="auto"/>
                <w:sz w:val="24"/>
                <w:szCs w:val="24"/>
              </w:rPr>
              <w:t>.2</w:t>
            </w:r>
            <w:r>
              <w:rPr>
                <w:b/>
                <w:color w:val="auto"/>
                <w:sz w:val="24"/>
                <w:szCs w:val="24"/>
              </w:rPr>
              <w:t>噪声影响预测</w:t>
            </w:r>
            <w:r>
              <w:rPr>
                <w:rFonts w:hint="eastAsia"/>
                <w:b/>
                <w:color w:val="auto"/>
                <w:sz w:val="24"/>
                <w:szCs w:val="24"/>
              </w:rPr>
              <w:t>及达标分析</w:t>
            </w:r>
          </w:p>
          <w:p w14:paraId="67F4EE8F">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采取的噪声防治措施：</w:t>
            </w:r>
          </w:p>
          <w:p w14:paraId="6593F5F6">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①在设备选型上，选择低噪声设备。</w:t>
            </w:r>
          </w:p>
          <w:p w14:paraId="16533317">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②在选用低噪声设备的前提下，对设备噪声再次从噪声源上进行减振控制。风机安装在减振基座上，基座下设隔振垫。</w:t>
            </w:r>
          </w:p>
          <w:p w14:paraId="05755230">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③在管道接头等部位使用软性接头，降低振动产生的噪声。</w:t>
            </w:r>
          </w:p>
          <w:p w14:paraId="6BA195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sz w:val="24"/>
              </w:rPr>
            </w:pPr>
            <w:r>
              <w:rPr>
                <w:rFonts w:hint="eastAsia"/>
                <w:bCs/>
                <w:color w:val="auto"/>
                <w:sz w:val="24"/>
              </w:rPr>
              <w:t>达标性分析：</w:t>
            </w:r>
          </w:p>
          <w:p w14:paraId="26D0FA13">
            <w:pPr>
              <w:bidi w:val="0"/>
              <w:rPr>
                <w:rFonts w:hint="eastAsia"/>
                <w:color w:val="auto"/>
                <w:lang w:eastAsia="zh-CN"/>
              </w:rPr>
            </w:pPr>
            <w:r>
              <w:rPr>
                <w:rFonts w:hint="eastAsia"/>
                <w:color w:val="auto"/>
                <w:lang w:val="en-US" w:eastAsia="zh-CN"/>
              </w:rPr>
              <w:t>为说明项目运营过程中噪声对周围环境的影响程度，根据《环境影响评价技术导则 声环境》（HJ2.4-2021）的要求，本次评价采取导则上推荐模式进行预测。</w:t>
            </w:r>
          </w:p>
          <w:p w14:paraId="378F6FFF">
            <w:pPr>
              <w:pStyle w:val="11"/>
              <w:numPr>
                <w:ilvl w:val="0"/>
                <w:numId w:val="0"/>
              </w:numPr>
              <w:spacing w:before="0" w:after="0" w:line="360" w:lineRule="auto"/>
              <w:ind w:leftChars="200" w:right="0" w:rightChars="0"/>
              <w:rPr>
                <w:rFonts w:hint="eastAsia"/>
                <w:color w:val="auto"/>
                <w:sz w:val="24"/>
                <w:szCs w:val="24"/>
                <w:lang w:val="en-US" w:eastAsia="zh-CN"/>
              </w:rPr>
            </w:pPr>
            <w:r>
              <w:rPr>
                <w:rFonts w:hint="eastAsia"/>
                <w:color w:val="auto"/>
                <w:sz w:val="24"/>
                <w:szCs w:val="24"/>
                <w:lang w:val="en-US" w:eastAsia="zh-CN"/>
              </w:rPr>
              <w:t>根据《环境影响评价技术导则 声环境》（HJ2.4-2021）附录B可得公式为：</w:t>
            </w:r>
          </w:p>
          <w:p w14:paraId="5023AD83">
            <w:pPr>
              <w:pStyle w:val="11"/>
              <w:numPr>
                <w:ilvl w:val="0"/>
                <w:numId w:val="0"/>
              </w:numPr>
              <w:spacing w:before="0" w:after="0" w:line="360" w:lineRule="auto"/>
              <w:ind w:leftChars="200" w:right="0" w:rightChars="0"/>
              <w:rPr>
                <w:rFonts w:hint="eastAsia"/>
                <w:color w:val="auto"/>
                <w:sz w:val="24"/>
                <w:szCs w:val="24"/>
                <w:lang w:eastAsia="zh-CN"/>
              </w:rPr>
            </w:pPr>
            <w:r>
              <w:rPr>
                <w:rFonts w:hint="eastAsia"/>
                <w:color w:val="auto"/>
                <w:sz w:val="24"/>
                <w:szCs w:val="24"/>
                <w:lang w:eastAsia="zh-CN"/>
              </w:rPr>
              <w:t>（1）预测条件假设</w:t>
            </w:r>
          </w:p>
          <w:p w14:paraId="43D193CD">
            <w:pPr>
              <w:pStyle w:val="11"/>
              <w:numPr>
                <w:ilvl w:val="0"/>
                <w:numId w:val="0"/>
              </w:numPr>
              <w:spacing w:before="0" w:after="0" w:line="360" w:lineRule="auto"/>
              <w:ind w:leftChars="200" w:right="0" w:rightChars="0"/>
              <w:rPr>
                <w:rFonts w:hint="eastAsia"/>
                <w:color w:val="auto"/>
                <w:sz w:val="24"/>
                <w:szCs w:val="24"/>
                <w:lang w:eastAsia="zh-CN"/>
              </w:rPr>
            </w:pPr>
            <w:r>
              <w:rPr>
                <w:rFonts w:hint="eastAsia"/>
                <w:color w:val="auto"/>
                <w:sz w:val="24"/>
                <w:szCs w:val="24"/>
                <w:lang w:eastAsia="zh-CN"/>
              </w:rPr>
              <w:t>①所有产噪设备均在正常工况条件下运行；</w:t>
            </w:r>
          </w:p>
          <w:p w14:paraId="7CA931C1">
            <w:pPr>
              <w:pStyle w:val="11"/>
              <w:numPr>
                <w:ilvl w:val="0"/>
                <w:numId w:val="0"/>
              </w:numPr>
              <w:spacing w:before="0" w:after="0" w:line="360" w:lineRule="auto"/>
              <w:ind w:leftChars="200" w:right="0" w:rightChars="0"/>
              <w:rPr>
                <w:rFonts w:hint="eastAsia"/>
                <w:color w:val="auto"/>
                <w:sz w:val="24"/>
                <w:szCs w:val="24"/>
                <w:lang w:eastAsia="zh-CN"/>
              </w:rPr>
            </w:pPr>
            <w:r>
              <w:rPr>
                <w:rFonts w:hint="eastAsia"/>
                <w:color w:val="auto"/>
                <w:sz w:val="24"/>
                <w:szCs w:val="24"/>
                <w:lang w:eastAsia="zh-CN"/>
              </w:rPr>
              <w:t>②考虑室内声源所在厂房围护结构的隔声、吸声作用；</w:t>
            </w:r>
          </w:p>
          <w:p w14:paraId="716547F5">
            <w:pPr>
              <w:pStyle w:val="11"/>
              <w:numPr>
                <w:ilvl w:val="0"/>
                <w:numId w:val="0"/>
              </w:numPr>
              <w:spacing w:before="0" w:after="0" w:line="360" w:lineRule="auto"/>
              <w:ind w:leftChars="200" w:right="0" w:rightChars="0"/>
              <w:rPr>
                <w:rFonts w:hint="eastAsia"/>
                <w:color w:val="auto"/>
                <w:sz w:val="24"/>
                <w:szCs w:val="24"/>
                <w:lang w:eastAsia="zh-CN"/>
              </w:rPr>
            </w:pPr>
            <w:r>
              <w:rPr>
                <w:rFonts w:hint="eastAsia"/>
                <w:color w:val="auto"/>
                <w:sz w:val="24"/>
                <w:szCs w:val="24"/>
                <w:lang w:eastAsia="zh-CN"/>
              </w:rPr>
              <w:fldChar w:fldCharType="begin"/>
            </w:r>
            <w:r>
              <w:rPr>
                <w:rFonts w:hint="eastAsia"/>
                <w:color w:val="auto"/>
                <w:sz w:val="24"/>
                <w:szCs w:val="24"/>
                <w:lang w:eastAsia="zh-CN"/>
              </w:rPr>
              <w:instrText xml:space="preserve"> = 3 \* GB3 </w:instrText>
            </w:r>
            <w:r>
              <w:rPr>
                <w:rFonts w:hint="eastAsia"/>
                <w:color w:val="auto"/>
                <w:sz w:val="24"/>
                <w:szCs w:val="24"/>
                <w:lang w:eastAsia="zh-CN"/>
              </w:rPr>
              <w:fldChar w:fldCharType="separate"/>
            </w:r>
            <w:r>
              <w:rPr>
                <w:rFonts w:hint="eastAsia"/>
                <w:color w:val="auto"/>
                <w:sz w:val="24"/>
                <w:szCs w:val="24"/>
                <w:lang w:eastAsia="zh-CN"/>
              </w:rPr>
              <w:t>③</w:t>
            </w:r>
            <w:r>
              <w:rPr>
                <w:rFonts w:hint="eastAsia"/>
                <w:color w:val="auto"/>
                <w:sz w:val="24"/>
                <w:szCs w:val="24"/>
                <w:lang w:eastAsia="zh-CN"/>
              </w:rPr>
              <w:fldChar w:fldCharType="end"/>
            </w:r>
            <w:r>
              <w:rPr>
                <w:rFonts w:hint="eastAsia"/>
                <w:color w:val="auto"/>
                <w:sz w:val="24"/>
                <w:szCs w:val="24"/>
                <w:lang w:eastAsia="zh-CN"/>
              </w:rPr>
              <w:t>衰减只考虑几何发散衰减，屏障衰减。</w:t>
            </w:r>
          </w:p>
          <w:p w14:paraId="7BA205EF">
            <w:pPr>
              <w:pStyle w:val="11"/>
              <w:numPr>
                <w:ilvl w:val="0"/>
                <w:numId w:val="0"/>
              </w:numPr>
              <w:spacing w:before="0" w:after="0" w:line="360" w:lineRule="auto"/>
              <w:ind w:leftChars="200" w:right="0" w:rightChars="0"/>
              <w:rPr>
                <w:rFonts w:hint="eastAsia"/>
                <w:color w:val="auto"/>
                <w:sz w:val="24"/>
                <w:szCs w:val="24"/>
                <w:lang w:eastAsia="zh-CN"/>
              </w:rPr>
            </w:pPr>
            <w:r>
              <w:rPr>
                <w:rFonts w:hint="eastAsia"/>
                <w:color w:val="auto"/>
                <w:sz w:val="24"/>
                <w:szCs w:val="24"/>
                <w:lang w:eastAsia="zh-CN"/>
              </w:rPr>
              <w:t>（2）室内声源等效室外声源声功率级</w:t>
            </w:r>
          </w:p>
          <w:p w14:paraId="34365D59">
            <w:pPr>
              <w:pStyle w:val="11"/>
              <w:numPr>
                <w:ilvl w:val="0"/>
                <w:numId w:val="0"/>
              </w:numPr>
              <w:spacing w:before="0" w:after="0" w:line="360" w:lineRule="auto"/>
              <w:ind w:leftChars="200" w:right="0" w:rightChars="0"/>
              <w:rPr>
                <w:rFonts w:hint="default"/>
                <w:color w:val="auto"/>
                <w:sz w:val="24"/>
                <w:szCs w:val="24"/>
                <w:lang w:val="en-US" w:eastAsia="zh-CN"/>
              </w:rPr>
            </w:pPr>
            <w:r>
              <w:rPr>
                <w:rFonts w:hint="eastAsia"/>
                <w:color w:val="auto"/>
                <w:sz w:val="24"/>
                <w:szCs w:val="24"/>
                <w:lang w:eastAsia="zh-CN"/>
              </w:rPr>
              <w:t>声源位于室内，室内声源可采用等效室外声源声功率级法进行计算。</w:t>
            </w:r>
          </w:p>
          <w:p w14:paraId="3D1A1CED">
            <w:pPr>
              <w:pStyle w:val="11"/>
              <w:numPr>
                <w:ilvl w:val="0"/>
                <w:numId w:val="0"/>
              </w:numPr>
              <w:spacing w:before="0" w:after="0" w:line="360" w:lineRule="auto"/>
              <w:ind w:leftChars="200" w:right="0" w:rightChars="0"/>
              <w:rPr>
                <w:color w:val="auto"/>
                <w:sz w:val="24"/>
                <w:szCs w:val="24"/>
              </w:rPr>
            </w:pPr>
            <w:r>
              <w:rPr>
                <w:rFonts w:ascii="Times New Roman" w:hAnsi="Times New Roman" w:eastAsia="宋体" w:cs="Times New Roman"/>
                <w:color w:val="auto"/>
                <w:sz w:val="24"/>
              </w:rPr>
              <w:t>①</w:t>
            </w:r>
            <w:r>
              <w:rPr>
                <w:rFonts w:hint="eastAsia"/>
                <w:color w:val="auto"/>
                <w:sz w:val="24"/>
                <w:szCs w:val="24"/>
                <w:lang w:eastAsia="zh-CN"/>
              </w:rPr>
              <w:t>首先计算出某一</w:t>
            </w:r>
            <w:r>
              <w:rPr>
                <w:color w:val="auto"/>
                <w:sz w:val="24"/>
                <w:szCs w:val="24"/>
              </w:rPr>
              <w:t>室内声源</w:t>
            </w:r>
            <w:r>
              <w:rPr>
                <w:rFonts w:hint="eastAsia"/>
                <w:color w:val="auto"/>
                <w:sz w:val="24"/>
                <w:szCs w:val="24"/>
                <w:lang w:eastAsia="zh-CN"/>
              </w:rPr>
              <w:t>靠近围护结构处的声压级：</w:t>
            </w:r>
          </w:p>
          <w:p w14:paraId="13D938F7">
            <w:pPr>
              <w:keepNext w:val="0"/>
              <w:keepLines w:val="0"/>
              <w:pageBreakBefore w:val="0"/>
              <w:widowControl w:val="0"/>
              <w:kinsoku/>
              <w:wordWrap/>
              <w:overflowPunct/>
              <w:topLinePunct w:val="0"/>
              <w:autoSpaceDE/>
              <w:autoSpaceDN/>
              <w:bidi w:val="0"/>
              <w:adjustRightInd/>
              <w:snapToGrid/>
              <w:spacing w:line="360" w:lineRule="auto"/>
              <w:ind w:left="0" w:leftChars="0"/>
              <w:jc w:val="center"/>
              <w:textAlignment w:val="auto"/>
              <w:rPr>
                <w:color w:val="auto"/>
                <w:sz w:val="24"/>
              </w:rPr>
            </w:pPr>
            <m:oMathPara>
              <m:oMath>
                <m:sSub>
                  <m:sSubPr>
                    <m:ctrlPr>
                      <w:rPr>
                        <w:rFonts w:hint="default" w:ascii="Cambria Math" w:hAnsi="Cambria Math"/>
                        <w:i/>
                        <w:color w:val="auto"/>
                        <w:sz w:val="24"/>
                      </w:rPr>
                    </m:ctrlPr>
                  </m:sSubPr>
                  <m:e>
                    <m:r>
                      <m:rPr/>
                      <w:rPr>
                        <w:rFonts w:hint="default" w:ascii="Cambria Math" w:hAnsi="Cambria Math"/>
                        <w:color w:val="auto"/>
                        <w:sz w:val="24"/>
                      </w:rPr>
                      <m:t>L</m:t>
                    </m:r>
                    <m:ctrlPr>
                      <w:rPr>
                        <w:rFonts w:hint="default" w:ascii="Cambria Math" w:hAnsi="Cambria Math"/>
                        <w:i/>
                        <w:color w:val="auto"/>
                        <w:sz w:val="24"/>
                      </w:rPr>
                    </m:ctrlPr>
                  </m:e>
                  <m:sub>
                    <m:r>
                      <m:rPr/>
                      <w:rPr>
                        <w:rFonts w:hint="default" w:ascii="Cambria Math" w:hAnsi="Cambria Math"/>
                        <w:color w:val="auto"/>
                        <w:sz w:val="24"/>
                      </w:rPr>
                      <m:t>p1</m:t>
                    </m:r>
                    <m:ctrlPr>
                      <w:rPr>
                        <w:rFonts w:hint="default" w:ascii="Cambria Math" w:hAnsi="Cambria Math"/>
                        <w:i/>
                        <w:color w:val="auto"/>
                        <w:sz w:val="24"/>
                      </w:rPr>
                    </m:ctrlPr>
                  </m:sub>
                </m:sSub>
                <m:r>
                  <m:rPr/>
                  <w:rPr>
                    <w:rFonts w:hint="default" w:ascii="Cambria Math" w:hAnsi="Cambria Math"/>
                    <w:color w:val="auto"/>
                    <w:sz w:val="24"/>
                  </w:rPr>
                  <m:t>=</m:t>
                </m:r>
                <m:sSub>
                  <m:sSubPr>
                    <m:ctrlPr>
                      <w:rPr>
                        <w:rFonts w:hint="default" w:ascii="Cambria Math" w:hAnsi="Cambria Math"/>
                        <w:i/>
                        <w:color w:val="auto"/>
                        <w:sz w:val="24"/>
                      </w:rPr>
                    </m:ctrlPr>
                  </m:sSubPr>
                  <m:e>
                    <m:r>
                      <m:rPr/>
                      <w:rPr>
                        <w:rFonts w:hint="default" w:ascii="Cambria Math" w:hAnsi="Cambria Math"/>
                        <w:color w:val="auto"/>
                        <w:sz w:val="24"/>
                      </w:rPr>
                      <m:t>L</m:t>
                    </m:r>
                    <m:ctrlPr>
                      <w:rPr>
                        <w:rFonts w:hint="default" w:ascii="Cambria Math" w:hAnsi="Cambria Math"/>
                        <w:i/>
                        <w:color w:val="auto"/>
                        <w:sz w:val="24"/>
                      </w:rPr>
                    </m:ctrlPr>
                  </m:e>
                  <m:sub>
                    <m:r>
                      <m:rPr/>
                      <w:rPr>
                        <w:rFonts w:hint="default" w:ascii="Cambria Math" w:hAnsi="Cambria Math"/>
                        <w:color w:val="auto"/>
                        <w:sz w:val="24"/>
                        <w:lang w:val="en-US" w:eastAsia="zh-CN"/>
                      </w:rPr>
                      <m:t>w</m:t>
                    </m:r>
                    <m:ctrlPr>
                      <w:rPr>
                        <w:rFonts w:hint="default" w:ascii="Cambria Math" w:hAnsi="Cambria Math"/>
                        <w:i/>
                        <w:color w:val="auto"/>
                        <w:sz w:val="24"/>
                      </w:rPr>
                    </m:ctrlPr>
                  </m:sub>
                </m:sSub>
                <m:r>
                  <m:rPr/>
                  <w:rPr>
                    <w:rFonts w:hint="default" w:ascii="Cambria Math" w:hAnsi="Cambria Math"/>
                    <w:color w:val="auto"/>
                    <w:sz w:val="24"/>
                    <w:lang w:val="en-US" w:eastAsia="zh-CN"/>
                  </w:rPr>
                  <m:t>+</m:t>
                </m:r>
                <m:r>
                  <m:rPr/>
                  <w:rPr>
                    <w:rFonts w:hint="default" w:ascii="Cambria Math" w:hAnsi="Cambria Math"/>
                    <w:color w:val="auto"/>
                    <w:sz w:val="24"/>
                  </w:rPr>
                  <m:t>10</m:t>
                </m:r>
                <m:func>
                  <m:funcPr>
                    <m:ctrlPr>
                      <w:rPr>
                        <w:rFonts w:hint="default" w:ascii="Cambria Math" w:hAnsi="Cambria Math"/>
                        <w:color w:val="auto"/>
                        <w:sz w:val="24"/>
                      </w:rPr>
                    </m:ctrlPr>
                  </m:funcPr>
                  <m:fName>
                    <m:r>
                      <m:rPr>
                        <m:sty m:val="p"/>
                      </m:rPr>
                      <w:rPr>
                        <w:rFonts w:hint="default" w:ascii="Cambria Math" w:hAnsi="Cambria Math"/>
                        <w:color w:val="auto"/>
                        <w:sz w:val="24"/>
                      </w:rPr>
                      <m:t>lg</m:t>
                    </m:r>
                    <m:ctrlPr>
                      <w:rPr>
                        <w:rFonts w:hint="default" w:ascii="Cambria Math" w:hAnsi="Cambria Math"/>
                        <w:i/>
                        <w:color w:val="auto"/>
                        <w:sz w:val="24"/>
                      </w:rPr>
                    </m:ctrlPr>
                  </m:fName>
                  <m:e>
                    <m:d>
                      <m:dPr>
                        <m:ctrlPr>
                          <w:rPr>
                            <w:rFonts w:hint="default" w:ascii="Cambria Math" w:hAnsi="Cambria Math"/>
                            <w:i/>
                            <w:color w:val="auto"/>
                            <w:sz w:val="24"/>
                          </w:rPr>
                        </m:ctrlPr>
                      </m:dPr>
                      <m:e>
                        <m:f>
                          <m:fPr>
                            <m:ctrlPr>
                              <w:rPr>
                                <w:rFonts w:hint="default" w:ascii="Cambria Math" w:hAnsi="Cambria Math"/>
                                <w:i/>
                                <w:color w:val="auto"/>
                                <w:sz w:val="24"/>
                              </w:rPr>
                            </m:ctrlPr>
                          </m:fPr>
                          <m:num>
                            <m:r>
                              <m:rPr/>
                              <w:rPr>
                                <w:rFonts w:hint="default" w:ascii="Cambria Math" w:hAnsi="Cambria Math"/>
                                <w:color w:val="auto"/>
                                <w:sz w:val="24"/>
                                <w:lang w:val="en-US" w:eastAsia="zh-CN"/>
                              </w:rPr>
                              <m:t>Q</m:t>
                            </m:r>
                            <m:ctrlPr>
                              <w:rPr>
                                <w:rFonts w:hint="default" w:ascii="Cambria Math" w:hAnsi="Cambria Math"/>
                                <w:i/>
                                <w:color w:val="auto"/>
                                <w:sz w:val="24"/>
                              </w:rPr>
                            </m:ctrlPr>
                          </m:num>
                          <m:den>
                            <m:r>
                              <m:rPr/>
                              <w:rPr>
                                <w:rFonts w:hint="default" w:ascii="Cambria Math" w:hAnsi="Cambria Math"/>
                                <w:color w:val="auto"/>
                                <w:sz w:val="24"/>
                                <w:lang w:val="en-US" w:eastAsia="zh-CN"/>
                              </w:rPr>
                              <m:t>4</m:t>
                            </m:r>
                            <m:r>
                              <m:rPr/>
                              <w:rPr>
                                <w:rFonts w:hint="default" w:ascii="Cambria Math" w:hAnsi="Cambria Math"/>
                                <w:color w:val="auto"/>
                                <w:sz w:val="24"/>
                                <w:lang w:val="en-US"/>
                              </w:rPr>
                              <m:t>π</m:t>
                            </m:r>
                            <m:sSup>
                              <m:sSupPr>
                                <m:ctrlPr>
                                  <w:rPr>
                                    <w:rFonts w:hint="default" w:ascii="Cambria Math" w:hAnsi="Cambria Math"/>
                                    <w:i/>
                                    <w:color w:val="auto"/>
                                    <w:sz w:val="24"/>
                                    <w:lang w:val="en-US"/>
                                  </w:rPr>
                                </m:ctrlPr>
                              </m:sSupPr>
                              <m:e>
                                <m:r>
                                  <m:rPr/>
                                  <w:rPr>
                                    <w:rFonts w:hint="default" w:ascii="Cambria Math" w:hAnsi="Cambria Math"/>
                                    <w:color w:val="auto"/>
                                    <w:sz w:val="24"/>
                                    <w:lang w:val="en-US" w:eastAsia="zh-CN"/>
                                  </w:rPr>
                                  <m:t>r</m:t>
                                </m:r>
                                <m:ctrlPr>
                                  <w:rPr>
                                    <w:rFonts w:hint="default" w:ascii="Cambria Math" w:hAnsi="Cambria Math"/>
                                    <w:i/>
                                    <w:color w:val="auto"/>
                                    <w:sz w:val="24"/>
                                    <w:lang w:val="en-US"/>
                                  </w:rPr>
                                </m:ctrlPr>
                              </m:e>
                              <m:sup>
                                <m:r>
                                  <m:rPr/>
                                  <w:rPr>
                                    <w:rFonts w:hint="default" w:ascii="Cambria Math" w:hAnsi="Cambria Math"/>
                                    <w:color w:val="auto"/>
                                    <w:sz w:val="24"/>
                                    <w:lang w:val="en-US" w:eastAsia="zh-CN"/>
                                  </w:rPr>
                                  <m:t>2</m:t>
                                </m:r>
                                <m:ctrlPr>
                                  <w:rPr>
                                    <w:rFonts w:hint="default" w:ascii="Cambria Math" w:hAnsi="Cambria Math"/>
                                    <w:i/>
                                    <w:color w:val="auto"/>
                                    <w:sz w:val="24"/>
                                    <w:lang w:val="en-US"/>
                                  </w:rPr>
                                </m:ctrlPr>
                              </m:sup>
                            </m:sSup>
                            <m:ctrlPr>
                              <w:rPr>
                                <w:rFonts w:hint="default" w:ascii="Cambria Math" w:hAnsi="Cambria Math"/>
                                <w:i/>
                                <w:color w:val="auto"/>
                                <w:sz w:val="24"/>
                              </w:rPr>
                            </m:ctrlPr>
                          </m:den>
                        </m:f>
                        <m:r>
                          <m:rPr/>
                          <w:rPr>
                            <w:rFonts w:hint="default" w:ascii="Cambria Math" w:hAnsi="Cambria Math"/>
                            <w:color w:val="auto"/>
                            <w:sz w:val="24"/>
                            <w:lang w:val="en-US" w:eastAsia="zh-CN"/>
                          </w:rPr>
                          <m:t>+</m:t>
                        </m:r>
                        <m:f>
                          <m:fPr>
                            <m:ctrlPr>
                              <w:rPr>
                                <w:rFonts w:hint="default" w:ascii="Cambria Math" w:hAnsi="Cambria Math"/>
                                <w:i/>
                                <w:color w:val="auto"/>
                                <w:sz w:val="24"/>
                                <w:lang w:val="en-US" w:eastAsia="zh-CN"/>
                              </w:rPr>
                            </m:ctrlPr>
                          </m:fPr>
                          <m:num>
                            <m:r>
                              <m:rPr/>
                              <w:rPr>
                                <w:rFonts w:hint="default" w:ascii="Cambria Math" w:hAnsi="Cambria Math"/>
                                <w:color w:val="auto"/>
                                <w:sz w:val="24"/>
                                <w:lang w:val="en-US" w:eastAsia="zh-CN"/>
                              </w:rPr>
                              <m:t>4</m:t>
                            </m:r>
                            <m:ctrlPr>
                              <w:rPr>
                                <w:rFonts w:hint="default" w:ascii="Cambria Math" w:hAnsi="Cambria Math"/>
                                <w:i/>
                                <w:color w:val="auto"/>
                                <w:sz w:val="24"/>
                                <w:lang w:val="en-US" w:eastAsia="zh-CN"/>
                              </w:rPr>
                            </m:ctrlPr>
                          </m:num>
                          <m:den>
                            <m:r>
                              <m:rPr/>
                              <w:rPr>
                                <w:rFonts w:hint="default" w:ascii="Cambria Math" w:hAnsi="Cambria Math"/>
                                <w:color w:val="auto"/>
                                <w:sz w:val="24"/>
                                <w:lang w:val="en-US" w:eastAsia="zh-CN"/>
                              </w:rPr>
                              <m:t>R</m:t>
                            </m:r>
                            <m:ctrlPr>
                              <w:rPr>
                                <w:rFonts w:hint="default" w:ascii="Cambria Math" w:hAnsi="Cambria Math"/>
                                <w:i/>
                                <w:color w:val="auto"/>
                                <w:sz w:val="24"/>
                                <w:lang w:val="en-US" w:eastAsia="zh-CN"/>
                              </w:rPr>
                            </m:ctrlPr>
                          </m:den>
                        </m:f>
                        <m:ctrlPr>
                          <w:rPr>
                            <w:rFonts w:hint="default" w:ascii="Cambria Math" w:hAnsi="Cambria Math"/>
                            <w:i/>
                            <w:color w:val="auto"/>
                            <w:sz w:val="24"/>
                          </w:rPr>
                        </m:ctrlPr>
                      </m:e>
                    </m:d>
                    <m:ctrlPr>
                      <w:rPr>
                        <w:rFonts w:hint="default" w:ascii="Cambria Math" w:hAnsi="Cambria Math"/>
                        <w:i/>
                        <w:color w:val="auto"/>
                        <w:sz w:val="24"/>
                      </w:rPr>
                    </m:ctrlPr>
                  </m:e>
                </m:func>
              </m:oMath>
            </m:oMathPara>
          </w:p>
          <w:p w14:paraId="68891FCB">
            <w:pPr>
              <w:pStyle w:val="11"/>
              <w:spacing w:before="0" w:after="0" w:line="360" w:lineRule="auto"/>
              <w:ind w:right="0" w:firstLine="480" w:firstLineChars="200"/>
              <w:rPr>
                <w:color w:val="auto"/>
                <w:sz w:val="24"/>
                <w:szCs w:val="24"/>
              </w:rPr>
            </w:pPr>
            <w:r>
              <w:rPr>
                <w:color w:val="auto"/>
                <w:kern w:val="2"/>
                <w:sz w:val="24"/>
                <w:szCs w:val="24"/>
              </w:rPr>
              <w:t>式中：</w:t>
            </w:r>
            <m:oMath>
              <m:sSub>
                <m:sSubPr>
                  <m:ctrlPr>
                    <w:rPr>
                      <w:rFonts w:hint="default" w:ascii="Cambria Math" w:hAnsi="Cambria Math"/>
                      <w:i/>
                      <w:color w:val="auto"/>
                      <w:sz w:val="24"/>
                    </w:rPr>
                  </m:ctrlPr>
                </m:sSubPr>
                <m:e>
                  <m:r>
                    <m:rPr/>
                    <w:rPr>
                      <w:rFonts w:hint="default" w:ascii="Cambria Math" w:hAnsi="Cambria Math"/>
                      <w:color w:val="auto"/>
                      <w:sz w:val="24"/>
                    </w:rPr>
                    <m:t>L</m:t>
                  </m:r>
                  <m:ctrlPr>
                    <w:rPr>
                      <w:rFonts w:hint="default" w:ascii="Cambria Math" w:hAnsi="Cambria Math"/>
                      <w:i/>
                      <w:color w:val="auto"/>
                      <w:sz w:val="24"/>
                    </w:rPr>
                  </m:ctrlPr>
                </m:e>
                <m:sub>
                  <m:r>
                    <m:rPr/>
                    <w:rPr>
                      <w:rFonts w:hint="default" w:ascii="Cambria Math" w:hAnsi="Cambria Math"/>
                      <w:color w:val="auto"/>
                      <w:sz w:val="24"/>
                    </w:rPr>
                    <m:t>p1</m:t>
                  </m:r>
                  <m:ctrlPr>
                    <w:rPr>
                      <w:rFonts w:hint="default" w:ascii="Cambria Math" w:hAnsi="Cambria Math"/>
                      <w:i/>
                      <w:color w:val="auto"/>
                      <w:sz w:val="24"/>
                    </w:rPr>
                  </m:ctrlPr>
                </m:sub>
              </m:sSub>
            </m:oMath>
            <w:r>
              <w:rPr>
                <w:color w:val="auto"/>
                <w:sz w:val="24"/>
                <w:szCs w:val="24"/>
              </w:rPr>
              <w:t>－靠近</w:t>
            </w:r>
            <w:r>
              <w:rPr>
                <w:rFonts w:hint="eastAsia"/>
                <w:color w:val="auto"/>
                <w:sz w:val="24"/>
                <w:szCs w:val="24"/>
                <w:lang w:eastAsia="zh-CN"/>
              </w:rPr>
              <w:t>开口处（或窗户）室内某倍频带的声压级</w:t>
            </w:r>
            <w:r>
              <w:rPr>
                <w:color w:val="auto"/>
                <w:sz w:val="24"/>
                <w:szCs w:val="24"/>
              </w:rPr>
              <w:t>，dB；</w:t>
            </w:r>
          </w:p>
          <w:p w14:paraId="346D11CE">
            <w:pPr>
              <w:spacing w:line="360" w:lineRule="auto"/>
              <w:ind w:firstLine="1200" w:firstLineChars="500"/>
              <w:rPr>
                <w:color w:val="auto"/>
                <w:sz w:val="24"/>
              </w:rPr>
            </w:pPr>
            <m:oMath>
              <m:sSub>
                <m:sSubPr>
                  <m:ctrlPr>
                    <w:rPr>
                      <w:rFonts w:hint="default" w:ascii="Cambria Math" w:hAnsi="Cambria Math"/>
                      <w:i/>
                      <w:color w:val="auto"/>
                      <w:sz w:val="24"/>
                    </w:rPr>
                  </m:ctrlPr>
                </m:sSubPr>
                <m:e>
                  <m:r>
                    <m:rPr/>
                    <w:rPr>
                      <w:rFonts w:hint="default" w:ascii="Cambria Math" w:hAnsi="Cambria Math"/>
                      <w:color w:val="auto"/>
                      <w:sz w:val="24"/>
                    </w:rPr>
                    <m:t>L</m:t>
                  </m:r>
                  <m:ctrlPr>
                    <w:rPr>
                      <w:rFonts w:hint="default" w:ascii="Cambria Math" w:hAnsi="Cambria Math"/>
                      <w:i/>
                      <w:color w:val="auto"/>
                      <w:sz w:val="24"/>
                    </w:rPr>
                  </m:ctrlPr>
                </m:e>
                <m:sub>
                  <m:r>
                    <m:rPr/>
                    <w:rPr>
                      <w:rFonts w:hint="default" w:ascii="Cambria Math" w:hAnsi="Cambria Math"/>
                      <w:color w:val="auto"/>
                      <w:sz w:val="24"/>
                      <w:lang w:val="en-US" w:eastAsia="zh-CN"/>
                    </w:rPr>
                    <m:t>w</m:t>
                  </m:r>
                  <m:ctrlPr>
                    <w:rPr>
                      <w:rFonts w:hint="default" w:ascii="Cambria Math" w:hAnsi="Cambria Math"/>
                      <w:i/>
                      <w:color w:val="auto"/>
                      <w:sz w:val="24"/>
                    </w:rPr>
                  </m:ctrlPr>
                </m:sub>
              </m:sSub>
            </m:oMath>
            <w:r>
              <w:rPr>
                <w:color w:val="auto"/>
                <w:sz w:val="24"/>
              </w:rPr>
              <w:t>－</w:t>
            </w:r>
            <w:r>
              <w:rPr>
                <w:rFonts w:hint="eastAsia"/>
                <w:color w:val="auto"/>
                <w:sz w:val="24"/>
                <w:lang w:eastAsia="zh-CN"/>
              </w:rPr>
              <w:t>点声源声功率</w:t>
            </w:r>
            <w:r>
              <w:rPr>
                <w:color w:val="auto"/>
                <w:sz w:val="24"/>
              </w:rPr>
              <w:t>级，dB；</w:t>
            </w:r>
          </w:p>
          <w:p w14:paraId="4173EBB4">
            <w:pPr>
              <w:spacing w:line="360" w:lineRule="auto"/>
              <w:ind w:firstLine="1200" w:firstLineChars="500"/>
              <w:rPr>
                <w:color w:val="auto"/>
                <w:sz w:val="24"/>
              </w:rPr>
            </w:pPr>
            <m:oMath>
              <m:r>
                <m:rPr/>
                <w:rPr>
                  <w:rFonts w:hint="default" w:ascii="Cambria Math" w:hAnsi="Cambria Math"/>
                  <w:color w:val="auto"/>
                  <w:sz w:val="24"/>
                  <w:lang w:val="en-US" w:eastAsia="zh-CN"/>
                </w:rPr>
                <m:t>Q</m:t>
              </m:r>
            </m:oMath>
            <w:r>
              <w:rPr>
                <w:color w:val="auto"/>
                <w:sz w:val="24"/>
              </w:rPr>
              <w:t>－</w:t>
            </w:r>
            <w:r>
              <w:rPr>
                <w:rFonts w:hint="eastAsia"/>
                <w:color w:val="auto"/>
                <w:sz w:val="24"/>
              </w:rPr>
              <w:t>指向性因数；通常对无指向性声源，当声源放在房间中心时，Q=1；当放在一面墙的中心时，Q=2；当放在两面墙夹角处时，Q=4；当放在三面墙夹角处时，Q=8；本项目Q取1；</w:t>
            </w:r>
          </w:p>
          <w:p w14:paraId="7E76B929">
            <w:pPr>
              <w:pStyle w:val="11"/>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0" w:right="0" w:rightChars="0" w:firstLine="1200" w:firstLineChars="500"/>
              <w:textAlignment w:val="auto"/>
              <w:rPr>
                <w:rFonts w:hint="eastAsia" w:ascii="Times New Roman" w:hAnsi="Times New Roman" w:eastAsia="宋体" w:cs="Times New Roman"/>
                <w:color w:val="auto"/>
                <w:kern w:val="2"/>
                <w:sz w:val="24"/>
                <w:szCs w:val="24"/>
                <w:lang w:val="en-US" w:eastAsia="zh-CN" w:bidi="ar-SA"/>
              </w:rPr>
            </w:pPr>
            <m:oMath>
              <m:r>
                <m:rPr/>
                <w:rPr>
                  <w:rFonts w:hint="default" w:ascii="Cambria Math" w:hAnsi="Cambria Math"/>
                  <w:color w:val="auto"/>
                  <w:sz w:val="24"/>
                  <w:lang w:val="en-US" w:eastAsia="zh-CN"/>
                </w:rPr>
                <m:t>R</m:t>
              </m:r>
            </m:oMath>
            <w:r>
              <w:rPr>
                <w:color w:val="auto"/>
                <w:sz w:val="24"/>
              </w:rPr>
              <w:t>－</w:t>
            </w:r>
            <w:r>
              <w:rPr>
                <w:rFonts w:hint="eastAsia"/>
                <w:color w:val="auto"/>
                <w:sz w:val="24"/>
              </w:rPr>
              <w:t>房间常数；</w:t>
            </w:r>
            <m:oMath>
              <m:r>
                <m:rPr/>
                <w:rPr>
                  <w:rFonts w:hint="default" w:ascii="Cambria Math" w:hAnsi="Cambria Math" w:cs="Times New Roman"/>
                  <w:color w:val="auto"/>
                  <w:sz w:val="24"/>
                  <w:lang w:val="en-US" w:eastAsia="zh-CN"/>
                </w:rPr>
                <m:t>R</m:t>
              </m:r>
              <m:r>
                <m:rPr/>
                <w:rPr>
                  <w:rFonts w:hint="default" w:ascii="Cambria Math" w:hAnsi="Cambria Math" w:cs="Times New Roman"/>
                  <w:color w:val="auto"/>
                  <w:sz w:val="24"/>
                </w:rPr>
                <m:t>=</m:t>
              </m:r>
              <m:r>
                <m:rPr/>
                <w:rPr>
                  <w:rFonts w:hint="default" w:ascii="Cambria Math" w:hAnsi="Cambria Math" w:cs="Times New Roman"/>
                  <w:color w:val="auto"/>
                  <w:sz w:val="24"/>
                  <w:lang w:val="en-US" w:eastAsia="zh-CN"/>
                </w:rPr>
                <m:t>Sα/</m:t>
              </m:r>
              <m:r>
                <m:rPr>
                  <m:sty m:val="p"/>
                </m:rPr>
                <w:rPr>
                  <w:rFonts w:hint="default" w:ascii="Cambria Math" w:hAnsi="Cambria Math" w:cs="Times New Roman"/>
                  <w:color w:val="auto"/>
                  <w:sz w:val="24"/>
                  <w:lang w:val="en-US" w:eastAsia="zh-CN"/>
                </w:rPr>
                <m:t>（1−</m:t>
              </m:r>
              <m:r>
                <m:rPr>
                  <m:sty m:val="p"/>
                </m:rPr>
                <w:rPr>
                  <w:rFonts w:hint="default" w:ascii="Cambria Math" w:hAnsi="Cambria Math" w:cs="Times New Roman"/>
                  <w:color w:val="auto"/>
                  <w:sz w:val="24"/>
                  <w:lang w:val="en-US"/>
                </w:rPr>
                <m:t>α</m:t>
              </m:r>
              <m:r>
                <m:rPr>
                  <m:sty m:val="p"/>
                </m:rPr>
                <w:rPr>
                  <w:rFonts w:hint="default" w:ascii="Cambria Math" w:hAnsi="Cambria Math" w:cs="Times New Roman"/>
                  <w:color w:val="auto"/>
                  <w:sz w:val="24"/>
                  <w:lang w:val="en-US" w:eastAsia="zh-CN"/>
                </w:rPr>
                <m:t>）</m:t>
              </m:r>
            </m:oMath>
            <w:r>
              <w:rPr>
                <w:rFonts w:hint="eastAsia" w:hAnsi="Cambria Math" w:cs="Cambria Math"/>
                <w:i w:val="0"/>
                <w:iCs/>
                <w:color w:val="auto"/>
                <w:sz w:val="24"/>
                <w:lang w:val="en-US" w:eastAsia="zh-CN"/>
              </w:rPr>
              <w:t>，</w:t>
            </w:r>
            <w:r>
              <w:rPr>
                <w:rFonts w:hint="eastAsia"/>
                <w:color w:val="auto"/>
                <w:sz w:val="24"/>
              </w:rPr>
              <w:t>S为房间内表面面积，m</w:t>
            </w:r>
            <w:r>
              <w:rPr>
                <w:rFonts w:hint="eastAsia"/>
                <w:color w:val="auto"/>
                <w:sz w:val="24"/>
                <w:vertAlign w:val="superscript"/>
              </w:rPr>
              <w:t>2</w:t>
            </w:r>
            <w:r>
              <w:rPr>
                <w:rFonts w:hint="eastAsia"/>
                <w:color w:val="auto"/>
                <w:sz w:val="24"/>
                <w:lang w:eastAsia="zh-CN"/>
              </w:rPr>
              <w:t>；</w:t>
            </w:r>
            <m:oMath>
              <m:r>
                <m:rPr/>
                <w:rPr>
                  <w:rFonts w:hint="default" w:ascii="Cambria Math" w:hAnsi="Cambria Math" w:cs="Cambria Math"/>
                  <w:color w:val="auto"/>
                  <w:sz w:val="24"/>
                  <w:lang w:val="en-US" w:eastAsia="zh-CN"/>
                </w:rPr>
                <m:t>α</m:t>
              </m:r>
            </m:oMath>
            <w:r>
              <w:rPr>
                <w:rFonts w:hint="eastAsia" w:ascii="Times New Roman" w:hAnsi="Times New Roman" w:eastAsia="宋体" w:cs="Times New Roman"/>
                <w:color w:val="auto"/>
                <w:kern w:val="2"/>
                <w:sz w:val="24"/>
                <w:szCs w:val="24"/>
                <w:lang w:val="en-US" w:eastAsia="zh-CN" w:bidi="ar-SA"/>
              </w:rPr>
              <w:t>为平均吸声系数；</w:t>
            </w:r>
          </w:p>
          <w:p w14:paraId="3D3F92E3">
            <w:pPr>
              <w:pStyle w:val="11"/>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0" w:right="0" w:rightChars="0" w:firstLine="1200" w:firstLineChars="500"/>
              <w:textAlignment w:val="auto"/>
              <w:rPr>
                <w:rFonts w:hint="eastAsia" w:ascii="Times New Roman" w:hAnsi="Times New Roman" w:eastAsia="宋体" w:cs="Times New Roman"/>
                <w:color w:val="auto"/>
                <w:kern w:val="2"/>
                <w:sz w:val="24"/>
                <w:szCs w:val="24"/>
                <w:lang w:val="en-US" w:eastAsia="zh-CN" w:bidi="ar-SA"/>
              </w:rPr>
            </w:pPr>
            <m:oMath>
              <m:r>
                <m:rPr/>
                <w:rPr>
                  <w:rFonts w:hint="default" w:ascii="Cambria Math" w:hAnsi="Cambria Math"/>
                  <w:color w:val="auto"/>
                  <w:sz w:val="24"/>
                  <w:lang w:val="en-US" w:eastAsia="zh-CN"/>
                </w:rPr>
                <m:t>r</m:t>
              </m:r>
            </m:oMath>
            <w:r>
              <w:rPr>
                <w:color w:val="auto"/>
                <w:sz w:val="24"/>
              </w:rPr>
              <w:t>－</w:t>
            </w:r>
            <w:r>
              <w:rPr>
                <w:rFonts w:hint="eastAsia" w:ascii="Times New Roman" w:hAnsi="Times New Roman" w:eastAsia="宋体" w:cs="Times New Roman"/>
                <w:color w:val="auto"/>
                <w:kern w:val="2"/>
                <w:sz w:val="24"/>
                <w:szCs w:val="24"/>
                <w:lang w:val="en-US" w:eastAsia="zh-CN" w:bidi="ar-SA"/>
              </w:rPr>
              <w:t>声源到靠近围护结构某点处的距离，</w:t>
            </w:r>
            <w:r>
              <w:rPr>
                <w:rFonts w:hint="default" w:ascii="Times New Roman" w:hAnsi="Times New Roman" w:eastAsia="宋体" w:cs="Times New Roman"/>
                <w:color w:val="auto"/>
                <w:kern w:val="2"/>
                <w:sz w:val="24"/>
                <w:szCs w:val="24"/>
                <w:lang w:val="en-US" w:eastAsia="zh-CN" w:bidi="ar-SA"/>
              </w:rPr>
              <w:t>m</w:t>
            </w:r>
            <w:r>
              <w:rPr>
                <w:rFonts w:hint="eastAsia"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sz w:val="24"/>
                <w:lang w:val="en-US" w:eastAsia="zh-CN"/>
              </w:rPr>
              <w:t>本项目r取值对应表4-</w:t>
            </w:r>
            <w:r>
              <w:rPr>
                <w:rFonts w:hint="eastAsia" w:cs="Times New Roman"/>
                <w:color w:val="auto"/>
                <w:sz w:val="24"/>
                <w:lang w:val="en-US" w:eastAsia="zh-CN"/>
              </w:rPr>
              <w:t>8</w:t>
            </w:r>
            <w:r>
              <w:rPr>
                <w:rFonts w:hint="eastAsia" w:ascii="Times New Roman" w:hAnsi="Times New Roman" w:eastAsia="宋体" w:cs="Times New Roman"/>
                <w:color w:val="auto"/>
                <w:sz w:val="24"/>
                <w:lang w:val="en-US" w:eastAsia="zh-CN"/>
              </w:rPr>
              <w:t>中</w:t>
            </w:r>
            <w:r>
              <w:rPr>
                <w:rFonts w:hint="eastAsia" w:ascii="Times New Roman" w:hAnsi="Times New Roman" w:eastAsia="宋体" w:cs="Times New Roman"/>
                <w:color w:val="auto"/>
                <w:sz w:val="24"/>
                <w:lang w:val="zh-CN" w:eastAsia="zh-CN"/>
              </w:rPr>
              <w:t>距室内边界距离</w:t>
            </w:r>
            <w:r>
              <w:rPr>
                <w:rFonts w:ascii="Times New Roman" w:hAnsi="Times New Roman" w:eastAsia="宋体" w:cs="Times New Roman"/>
                <w:color w:val="auto"/>
                <w:sz w:val="24"/>
              </w:rPr>
              <w:t>。</w:t>
            </w:r>
          </w:p>
          <w:p w14:paraId="752FF3D7">
            <w:pPr>
              <w:pStyle w:val="11"/>
              <w:numPr>
                <w:ilvl w:val="0"/>
                <w:numId w:val="0"/>
              </w:numPr>
              <w:spacing w:before="0" w:after="0" w:line="360" w:lineRule="auto"/>
              <w:ind w:leftChars="200" w:right="0" w:rightChars="0"/>
              <w:rPr>
                <w:color w:val="auto"/>
                <w:sz w:val="24"/>
                <w:szCs w:val="24"/>
              </w:rPr>
            </w:pPr>
            <w:r>
              <w:rPr>
                <w:rFonts w:ascii="Times New Roman" w:hAnsi="Times New Roman" w:eastAsia="宋体" w:cs="Times New Roman"/>
                <w:color w:val="auto"/>
                <w:sz w:val="24"/>
              </w:rPr>
              <w:t>②</w:t>
            </w:r>
            <w:r>
              <w:rPr>
                <w:rFonts w:hint="eastAsia"/>
                <w:color w:val="auto"/>
                <w:sz w:val="24"/>
                <w:szCs w:val="24"/>
                <w:lang w:eastAsia="zh-CN"/>
              </w:rPr>
              <w:t>计算出所有室内声源</w:t>
            </w:r>
            <w:r>
              <w:rPr>
                <w:color w:val="auto"/>
                <w:sz w:val="24"/>
                <w:szCs w:val="24"/>
              </w:rPr>
              <w:t>在围护结构处产生的</w:t>
            </w:r>
            <w:r>
              <w:rPr>
                <w:rFonts w:hint="eastAsia"/>
                <w:color w:val="auto"/>
                <w:sz w:val="24"/>
                <w:szCs w:val="24"/>
                <w:lang w:eastAsia="zh-CN"/>
              </w:rPr>
              <w:t>总</w:t>
            </w:r>
            <w:r>
              <w:rPr>
                <w:color w:val="auto"/>
                <w:sz w:val="24"/>
                <w:szCs w:val="24"/>
              </w:rPr>
              <w:t>声压级</w:t>
            </w:r>
            <m:oMath>
              <m:sSub>
                <m:sSubPr>
                  <m:ctrlPr>
                    <w:rPr>
                      <w:rFonts w:hint="default" w:ascii="Cambria Math" w:hAnsi="Cambria Math"/>
                      <w:i/>
                      <w:color w:val="auto"/>
                      <w:sz w:val="24"/>
                      <w:szCs w:val="24"/>
                    </w:rPr>
                  </m:ctrlPr>
                </m:sSubPr>
                <m:e>
                  <m:r>
                    <m:rPr/>
                    <w:rPr>
                      <w:rFonts w:hint="default" w:ascii="Cambria Math" w:hAnsi="Cambria Math"/>
                      <w:color w:val="auto"/>
                      <w:sz w:val="24"/>
                      <w:szCs w:val="24"/>
                    </w:rPr>
                    <m:t>L</m:t>
                  </m:r>
                  <m:ctrlPr>
                    <w:rPr>
                      <w:rFonts w:hint="default" w:ascii="Cambria Math" w:hAnsi="Cambria Math"/>
                      <w:i/>
                      <w:color w:val="auto"/>
                      <w:sz w:val="24"/>
                      <w:szCs w:val="24"/>
                    </w:rPr>
                  </m:ctrlPr>
                </m:e>
                <m:sub>
                  <m:r>
                    <m:rPr/>
                    <w:rPr>
                      <w:rFonts w:hint="default" w:ascii="Cambria Math" w:hAnsi="Cambria Math"/>
                      <w:color w:val="auto"/>
                      <w:sz w:val="24"/>
                      <w:szCs w:val="24"/>
                    </w:rPr>
                    <m:t>p1i</m:t>
                  </m:r>
                  <m:ctrlPr>
                    <w:rPr>
                      <w:rFonts w:hint="default" w:ascii="Cambria Math" w:hAnsi="Cambria Math"/>
                      <w:i/>
                      <w:color w:val="auto"/>
                      <w:sz w:val="24"/>
                      <w:szCs w:val="24"/>
                    </w:rPr>
                  </m:ctrlPr>
                </m:sub>
              </m:sSub>
              <m:d>
                <m:dPr>
                  <m:ctrlPr>
                    <w:rPr>
                      <w:rFonts w:hint="default" w:ascii="Cambria Math" w:hAnsi="Cambria Math"/>
                      <w:i/>
                      <w:color w:val="auto"/>
                      <w:sz w:val="24"/>
                      <w:szCs w:val="24"/>
                    </w:rPr>
                  </m:ctrlPr>
                </m:dPr>
                <m:e>
                  <m:r>
                    <m:rPr/>
                    <w:rPr>
                      <w:rFonts w:hint="default" w:ascii="Cambria Math" w:hAnsi="Cambria Math"/>
                      <w:color w:val="auto"/>
                      <w:sz w:val="24"/>
                      <w:szCs w:val="24"/>
                    </w:rPr>
                    <m:t>T</m:t>
                  </m:r>
                  <m:ctrlPr>
                    <w:rPr>
                      <w:rFonts w:hint="default" w:ascii="Cambria Math" w:hAnsi="Cambria Math"/>
                      <w:i/>
                      <w:color w:val="auto"/>
                      <w:sz w:val="24"/>
                      <w:szCs w:val="24"/>
                    </w:rPr>
                  </m:ctrlPr>
                </m:e>
              </m:d>
            </m:oMath>
            <w:r>
              <w:rPr>
                <w:color w:val="auto"/>
                <w:sz w:val="24"/>
                <w:szCs w:val="24"/>
              </w:rPr>
              <w:t>，dB；</w:t>
            </w:r>
          </w:p>
          <w:p w14:paraId="12D79928">
            <w:pPr>
              <w:spacing w:line="360" w:lineRule="auto"/>
              <w:ind w:left="480" w:leftChars="200"/>
              <w:jc w:val="center"/>
              <w:rPr>
                <w:color w:val="auto"/>
                <w:sz w:val="24"/>
              </w:rPr>
            </w:pPr>
            <m:oMathPara>
              <m:oMath>
                <m:sSub>
                  <m:sSubPr>
                    <m:ctrlPr>
                      <w:rPr>
                        <w:rFonts w:ascii="Cambria Math" w:hAnsi="Cambria Math"/>
                        <w:i/>
                        <w:color w:val="auto"/>
                        <w:sz w:val="24"/>
                      </w:rPr>
                    </m:ctrlPr>
                  </m:sSubPr>
                  <m:e>
                    <m:r>
                      <m:rPr/>
                      <w:rPr>
                        <w:rFonts w:ascii="Cambria Math" w:hAnsi="Cambria Math"/>
                        <w:color w:val="auto"/>
                        <w:sz w:val="24"/>
                      </w:rPr>
                      <m:t>L</m:t>
                    </m:r>
                    <m:ctrlPr>
                      <w:rPr>
                        <w:rFonts w:ascii="Cambria Math" w:hAnsi="Cambria Math"/>
                        <w:i/>
                        <w:color w:val="auto"/>
                        <w:sz w:val="24"/>
                      </w:rPr>
                    </m:ctrlPr>
                  </m:e>
                  <m:sub>
                    <m:r>
                      <m:rPr/>
                      <w:rPr>
                        <w:rFonts w:ascii="Cambria Math" w:hAnsi="Cambria Math"/>
                        <w:color w:val="auto"/>
                        <w:sz w:val="24"/>
                      </w:rPr>
                      <m:t>p1i</m:t>
                    </m:r>
                    <m:ctrlPr>
                      <w:rPr>
                        <w:rFonts w:ascii="Cambria Math" w:hAnsi="Cambria Math"/>
                        <w:i/>
                        <w:color w:val="auto"/>
                        <w:sz w:val="24"/>
                      </w:rPr>
                    </m:ctrlPr>
                  </m:sub>
                </m:sSub>
                <m:d>
                  <m:dPr>
                    <m:ctrlPr>
                      <w:rPr>
                        <w:rFonts w:ascii="Cambria Math" w:hAnsi="Cambria Math"/>
                        <w:i/>
                        <w:color w:val="auto"/>
                        <w:sz w:val="24"/>
                      </w:rPr>
                    </m:ctrlPr>
                  </m:dPr>
                  <m:e>
                    <m:r>
                      <m:rPr/>
                      <w:rPr>
                        <w:rFonts w:ascii="Cambria Math" w:hAnsi="Cambria Math"/>
                        <w:color w:val="auto"/>
                        <w:sz w:val="24"/>
                      </w:rPr>
                      <m:t>T</m:t>
                    </m:r>
                    <m:ctrlPr>
                      <w:rPr>
                        <w:rFonts w:ascii="Cambria Math" w:hAnsi="Cambria Math"/>
                        <w:i/>
                        <w:color w:val="auto"/>
                        <w:sz w:val="24"/>
                      </w:rPr>
                    </m:ctrlPr>
                  </m:e>
                </m:d>
                <m:r>
                  <m:rPr/>
                  <w:rPr>
                    <w:rFonts w:ascii="Cambria Math" w:hAnsi="Cambria Math"/>
                    <w:color w:val="auto"/>
                    <w:sz w:val="24"/>
                  </w:rPr>
                  <m:t>=10</m:t>
                </m:r>
                <m:func>
                  <m:funcPr>
                    <m:ctrlPr>
                      <w:rPr>
                        <w:rFonts w:ascii="Cambria Math" w:hAnsi="Cambria Math"/>
                        <w:color w:val="auto"/>
                        <w:sz w:val="24"/>
                      </w:rPr>
                    </m:ctrlPr>
                  </m:funcPr>
                  <m:fName>
                    <m:r>
                      <m:rPr>
                        <m:sty m:val="p"/>
                      </m:rPr>
                      <w:rPr>
                        <w:rFonts w:ascii="Cambria Math" w:hAnsi="Cambria Math"/>
                        <w:color w:val="auto"/>
                        <w:sz w:val="24"/>
                      </w:rPr>
                      <m:t>lg</m:t>
                    </m:r>
                    <m:ctrlPr>
                      <w:rPr>
                        <w:rFonts w:ascii="Cambria Math" w:hAnsi="Cambria Math"/>
                        <w:i/>
                        <w:color w:val="auto"/>
                        <w:sz w:val="24"/>
                      </w:rPr>
                    </m:ctrlPr>
                  </m:fName>
                  <m:e>
                    <m:d>
                      <m:dPr>
                        <m:ctrlPr>
                          <w:rPr>
                            <w:rFonts w:ascii="Cambria Math" w:hAnsi="Cambria Math"/>
                            <w:i/>
                            <w:color w:val="auto"/>
                            <w:sz w:val="24"/>
                          </w:rPr>
                        </m:ctrlPr>
                      </m:dPr>
                      <m:e>
                        <m:nary>
                          <m:naryPr>
                            <m:chr m:val="∑"/>
                            <m:limLoc m:val="undOvr"/>
                            <m:ctrlPr>
                              <w:rPr>
                                <w:rFonts w:ascii="Cambria Math" w:hAnsi="Cambria Math"/>
                                <w:i/>
                                <w:color w:val="auto"/>
                                <w:sz w:val="24"/>
                              </w:rPr>
                            </m:ctrlPr>
                          </m:naryPr>
                          <m:sub>
                            <m:r>
                              <m:rPr/>
                              <w:rPr>
                                <w:rFonts w:ascii="Cambria Math" w:hAnsi="Cambria Math"/>
                                <w:color w:val="auto"/>
                                <w:sz w:val="24"/>
                              </w:rPr>
                              <m:t>j=1</m:t>
                            </m:r>
                            <m:ctrlPr>
                              <w:rPr>
                                <w:rFonts w:ascii="Cambria Math" w:hAnsi="Cambria Math"/>
                                <w:i/>
                                <w:color w:val="auto"/>
                                <w:sz w:val="24"/>
                              </w:rPr>
                            </m:ctrlPr>
                          </m:sub>
                          <m:sup>
                            <m:r>
                              <m:rPr/>
                              <w:rPr>
                                <w:rFonts w:ascii="Cambria Math" w:hAnsi="Cambria Math"/>
                                <w:color w:val="auto"/>
                                <w:sz w:val="24"/>
                              </w:rPr>
                              <m:t>N</m:t>
                            </m:r>
                            <m:ctrlPr>
                              <w:rPr>
                                <w:rFonts w:ascii="Cambria Math" w:hAnsi="Cambria Math"/>
                                <w:i/>
                                <w:color w:val="auto"/>
                                <w:sz w:val="24"/>
                              </w:rPr>
                            </m:ctrlPr>
                          </m:sup>
                          <m:e>
                            <m:sSup>
                              <m:sSupPr>
                                <m:ctrlPr>
                                  <w:rPr>
                                    <w:rFonts w:ascii="Cambria Math" w:hAnsi="Cambria Math"/>
                                    <w:i/>
                                    <w:color w:val="auto"/>
                                    <w:sz w:val="24"/>
                                  </w:rPr>
                                </m:ctrlPr>
                              </m:sSupPr>
                              <m:e>
                                <m:r>
                                  <m:rPr/>
                                  <w:rPr>
                                    <w:rFonts w:ascii="Cambria Math" w:hAnsi="Cambria Math"/>
                                    <w:color w:val="auto"/>
                                    <w:sz w:val="24"/>
                                  </w:rPr>
                                  <m:t>10</m:t>
                                </m:r>
                                <m:ctrlPr>
                                  <w:rPr>
                                    <w:rFonts w:ascii="Cambria Math" w:hAnsi="Cambria Math"/>
                                    <w:i/>
                                    <w:color w:val="auto"/>
                                    <w:sz w:val="24"/>
                                  </w:rPr>
                                </m:ctrlPr>
                              </m:e>
                              <m:sup>
                                <m:sSub>
                                  <m:sSubPr>
                                    <m:ctrlPr>
                                      <w:rPr>
                                        <w:rFonts w:ascii="Cambria Math" w:hAnsi="Cambria Math"/>
                                        <w:i/>
                                        <w:color w:val="auto"/>
                                        <w:sz w:val="24"/>
                                      </w:rPr>
                                    </m:ctrlPr>
                                  </m:sSubPr>
                                  <m:e>
                                    <m:r>
                                      <m:rPr/>
                                      <w:rPr>
                                        <w:rFonts w:ascii="Cambria Math" w:hAnsi="Cambria Math"/>
                                        <w:color w:val="auto"/>
                                        <w:sz w:val="24"/>
                                      </w:rPr>
                                      <m:t>0.1L</m:t>
                                    </m:r>
                                    <m:ctrlPr>
                                      <w:rPr>
                                        <w:rFonts w:ascii="Cambria Math" w:hAnsi="Cambria Math"/>
                                        <w:i/>
                                        <w:color w:val="auto"/>
                                        <w:sz w:val="24"/>
                                      </w:rPr>
                                    </m:ctrlPr>
                                  </m:e>
                                  <m:sub>
                                    <m:r>
                                      <m:rPr/>
                                      <w:rPr>
                                        <w:rFonts w:ascii="Cambria Math" w:hAnsi="Cambria Math"/>
                                        <w:color w:val="auto"/>
                                        <w:sz w:val="24"/>
                                      </w:rPr>
                                      <m:t>p1j</m:t>
                                    </m:r>
                                    <m:ctrlPr>
                                      <w:rPr>
                                        <w:rFonts w:ascii="Cambria Math" w:hAnsi="Cambria Math"/>
                                        <w:i/>
                                        <w:color w:val="auto"/>
                                        <w:sz w:val="24"/>
                                      </w:rPr>
                                    </m:ctrlPr>
                                  </m:sub>
                                </m:sSub>
                                <m:ctrlPr>
                                  <w:rPr>
                                    <w:rFonts w:ascii="Cambria Math" w:hAnsi="Cambria Math"/>
                                    <w:i/>
                                    <w:color w:val="auto"/>
                                    <w:sz w:val="24"/>
                                  </w:rPr>
                                </m:ctrlPr>
                              </m:sup>
                            </m:sSup>
                            <m:ctrlPr>
                              <w:rPr>
                                <w:rFonts w:ascii="Cambria Math" w:hAnsi="Cambria Math"/>
                                <w:i/>
                                <w:color w:val="auto"/>
                                <w:sz w:val="24"/>
                              </w:rPr>
                            </m:ctrlPr>
                          </m:e>
                        </m:nary>
                        <m:ctrlPr>
                          <w:rPr>
                            <w:rFonts w:ascii="Cambria Math" w:hAnsi="Cambria Math"/>
                            <w:i/>
                            <w:color w:val="auto"/>
                            <w:sz w:val="24"/>
                          </w:rPr>
                        </m:ctrlPr>
                      </m:e>
                    </m:d>
                    <m:ctrlPr>
                      <w:rPr>
                        <w:rFonts w:ascii="Cambria Math" w:hAnsi="Cambria Math"/>
                        <w:i/>
                        <w:color w:val="auto"/>
                        <w:sz w:val="24"/>
                      </w:rPr>
                    </m:ctrlPr>
                  </m:e>
                </m:func>
              </m:oMath>
            </m:oMathPara>
          </w:p>
          <w:p w14:paraId="33349C9B">
            <w:pPr>
              <w:pStyle w:val="11"/>
              <w:spacing w:before="0" w:after="0" w:line="360" w:lineRule="auto"/>
              <w:ind w:right="0" w:firstLine="480" w:firstLineChars="200"/>
              <w:rPr>
                <w:color w:val="auto"/>
                <w:sz w:val="24"/>
                <w:szCs w:val="24"/>
              </w:rPr>
            </w:pPr>
            <w:r>
              <w:rPr>
                <w:color w:val="auto"/>
                <w:kern w:val="2"/>
                <w:sz w:val="24"/>
                <w:szCs w:val="24"/>
              </w:rPr>
              <w:t>式中：</w:t>
            </w:r>
            <m:oMath>
              <m:sSub>
                <m:sSubPr>
                  <m:ctrlPr>
                    <w:rPr>
                      <w:rFonts w:ascii="Cambria Math" w:hAnsi="Cambria Math"/>
                      <w:i/>
                      <w:color w:val="auto"/>
                      <w:sz w:val="24"/>
                      <w:szCs w:val="24"/>
                    </w:rPr>
                  </m:ctrlPr>
                </m:sSubPr>
                <m:e>
                  <m:r>
                    <m:rPr/>
                    <w:rPr>
                      <w:rFonts w:ascii="Cambria Math" w:hAnsi="Cambria Math"/>
                      <w:color w:val="auto"/>
                      <w:sz w:val="24"/>
                      <w:szCs w:val="24"/>
                    </w:rPr>
                    <m:t>L</m:t>
                  </m:r>
                  <m:ctrlPr>
                    <w:rPr>
                      <w:rFonts w:ascii="Cambria Math" w:hAnsi="Cambria Math"/>
                      <w:i/>
                      <w:color w:val="auto"/>
                      <w:sz w:val="24"/>
                      <w:szCs w:val="24"/>
                    </w:rPr>
                  </m:ctrlPr>
                </m:e>
                <m:sub>
                  <m:r>
                    <m:rPr/>
                    <w:rPr>
                      <w:rFonts w:ascii="Cambria Math" w:hAnsi="Cambria Math"/>
                      <w:color w:val="auto"/>
                      <w:sz w:val="24"/>
                      <w:szCs w:val="24"/>
                    </w:rPr>
                    <m:t>p1</m:t>
                  </m:r>
                  <m:ctrlPr>
                    <w:rPr>
                      <w:rFonts w:ascii="Cambria Math" w:hAnsi="Cambria Math"/>
                      <w:i/>
                      <w:color w:val="auto"/>
                      <w:sz w:val="24"/>
                      <w:szCs w:val="24"/>
                    </w:rPr>
                  </m:ctrlPr>
                </m:sub>
              </m:sSub>
              <m:d>
                <m:dPr>
                  <m:ctrlPr>
                    <w:rPr>
                      <w:rFonts w:ascii="Cambria Math" w:hAnsi="Cambria Math"/>
                      <w:i/>
                      <w:color w:val="auto"/>
                      <w:sz w:val="24"/>
                      <w:szCs w:val="24"/>
                    </w:rPr>
                  </m:ctrlPr>
                </m:dPr>
                <m:e>
                  <m:r>
                    <m:rPr/>
                    <w:rPr>
                      <w:rFonts w:ascii="Cambria Math" w:hAnsi="Cambria Math"/>
                      <w:color w:val="auto"/>
                      <w:sz w:val="24"/>
                      <w:szCs w:val="24"/>
                    </w:rPr>
                    <m:t>T</m:t>
                  </m:r>
                  <m:ctrlPr>
                    <w:rPr>
                      <w:rFonts w:ascii="Cambria Math" w:hAnsi="Cambria Math"/>
                      <w:i/>
                      <w:color w:val="auto"/>
                      <w:sz w:val="24"/>
                      <w:szCs w:val="24"/>
                    </w:rPr>
                  </m:ctrlPr>
                </m:e>
              </m:d>
            </m:oMath>
            <w:r>
              <w:rPr>
                <w:color w:val="auto"/>
                <w:sz w:val="24"/>
                <w:szCs w:val="24"/>
              </w:rPr>
              <w:t>－靠近围护结构处室内</w:t>
            </w:r>
            <w:r>
              <w:rPr>
                <w:i/>
                <w:iCs/>
                <w:color w:val="auto"/>
                <w:sz w:val="24"/>
                <w:szCs w:val="24"/>
              </w:rPr>
              <w:t>N</w:t>
            </w:r>
            <w:r>
              <w:rPr>
                <w:color w:val="auto"/>
                <w:sz w:val="24"/>
                <w:szCs w:val="24"/>
              </w:rPr>
              <w:t>个声源的叠加声压级，dB；</w:t>
            </w:r>
          </w:p>
          <w:p w14:paraId="357627EB">
            <w:pPr>
              <w:spacing w:line="360" w:lineRule="auto"/>
              <w:ind w:firstLine="1200" w:firstLineChars="500"/>
              <w:rPr>
                <w:color w:val="auto"/>
                <w:sz w:val="24"/>
              </w:rPr>
            </w:pPr>
            <m:oMath>
              <m:sSub>
                <m:sSubPr>
                  <m:ctrlPr>
                    <w:rPr>
                      <w:rFonts w:ascii="Cambria Math" w:hAnsi="Cambria Math"/>
                      <w:i/>
                      <w:color w:val="auto"/>
                      <w:sz w:val="24"/>
                    </w:rPr>
                  </m:ctrlPr>
                </m:sSubPr>
                <m:e>
                  <m:r>
                    <m:rPr/>
                    <w:rPr>
                      <w:rFonts w:ascii="Cambria Math" w:hAnsi="Cambria Math"/>
                      <w:color w:val="auto"/>
                      <w:sz w:val="24"/>
                    </w:rPr>
                    <m:t>L</m:t>
                  </m:r>
                  <m:ctrlPr>
                    <w:rPr>
                      <w:rFonts w:ascii="Cambria Math" w:hAnsi="Cambria Math"/>
                      <w:i/>
                      <w:color w:val="auto"/>
                      <w:sz w:val="24"/>
                    </w:rPr>
                  </m:ctrlPr>
                </m:e>
                <m:sub>
                  <m:r>
                    <m:rPr/>
                    <w:rPr>
                      <w:rFonts w:ascii="Cambria Math" w:hAnsi="Cambria Math"/>
                      <w:color w:val="auto"/>
                      <w:sz w:val="24"/>
                    </w:rPr>
                    <m:t>p1j</m:t>
                  </m:r>
                  <m:ctrlPr>
                    <w:rPr>
                      <w:rFonts w:ascii="Cambria Math" w:hAnsi="Cambria Math"/>
                      <w:i/>
                      <w:color w:val="auto"/>
                      <w:sz w:val="24"/>
                    </w:rPr>
                  </m:ctrlPr>
                </m:sub>
              </m:sSub>
            </m:oMath>
            <w:r>
              <w:rPr>
                <w:color w:val="auto"/>
                <w:sz w:val="24"/>
              </w:rPr>
              <w:t>－室内j声源的叠加声压级，dB；</w:t>
            </w:r>
          </w:p>
          <w:p w14:paraId="4790BFD3">
            <w:pPr>
              <w:spacing w:line="360" w:lineRule="auto"/>
              <w:ind w:firstLine="1200" w:firstLineChars="500"/>
              <w:rPr>
                <w:color w:val="auto"/>
                <w:sz w:val="24"/>
              </w:rPr>
            </w:pPr>
            <m:oMath>
              <m:r>
                <m:rPr/>
                <w:rPr>
                  <w:rFonts w:ascii="Cambria Math" w:hAnsi="Cambria Math"/>
                  <w:color w:val="auto"/>
                  <w:sz w:val="24"/>
                </w:rPr>
                <m:t>N</m:t>
              </m:r>
            </m:oMath>
            <w:r>
              <w:rPr>
                <w:color w:val="auto"/>
                <w:sz w:val="24"/>
              </w:rPr>
              <w:t>－室内声源总数；</w:t>
            </w:r>
          </w:p>
          <w:p w14:paraId="4E14ED62">
            <w:pPr>
              <w:pStyle w:val="11"/>
              <w:numPr>
                <w:ilvl w:val="0"/>
                <w:numId w:val="0"/>
              </w:numPr>
              <w:spacing w:before="0" w:after="0" w:line="360" w:lineRule="auto"/>
              <w:ind w:leftChars="200" w:right="0" w:rightChars="0"/>
              <w:rPr>
                <w:color w:val="auto"/>
                <w:sz w:val="24"/>
                <w:szCs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3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③</w:t>
            </w:r>
            <w:r>
              <w:rPr>
                <w:rFonts w:ascii="Times New Roman" w:hAnsi="Times New Roman" w:eastAsia="宋体" w:cs="Times New Roman"/>
                <w:color w:val="auto"/>
                <w:sz w:val="24"/>
              </w:rPr>
              <w:fldChar w:fldCharType="end"/>
            </w:r>
            <w:r>
              <w:rPr>
                <w:rFonts w:hint="eastAsia"/>
                <w:color w:val="auto"/>
                <w:sz w:val="24"/>
                <w:szCs w:val="24"/>
                <w:lang w:eastAsia="zh-CN"/>
              </w:rPr>
              <w:t>再计算出</w:t>
            </w:r>
            <w:r>
              <w:rPr>
                <w:color w:val="auto"/>
                <w:sz w:val="24"/>
                <w:szCs w:val="24"/>
              </w:rPr>
              <w:t>靠近室外围护结构处的声压级</w:t>
            </w:r>
            <m:oMath>
              <m:sSub>
                <m:sSubPr>
                  <m:ctrlPr>
                    <w:rPr>
                      <w:rFonts w:hint="default" w:ascii="Cambria Math" w:hAnsi="Cambria Math"/>
                      <w:i/>
                      <w:color w:val="auto"/>
                      <w:sz w:val="24"/>
                      <w:szCs w:val="24"/>
                    </w:rPr>
                  </m:ctrlPr>
                </m:sSubPr>
                <m:e>
                  <m:r>
                    <m:rPr/>
                    <w:rPr>
                      <w:rFonts w:hint="default" w:ascii="Cambria Math" w:hAnsi="Cambria Math"/>
                      <w:color w:val="auto"/>
                      <w:sz w:val="24"/>
                      <w:szCs w:val="24"/>
                    </w:rPr>
                    <m:t>L</m:t>
                  </m:r>
                  <m:ctrlPr>
                    <w:rPr>
                      <w:rFonts w:hint="default" w:ascii="Cambria Math" w:hAnsi="Cambria Math"/>
                      <w:i/>
                      <w:color w:val="auto"/>
                      <w:sz w:val="24"/>
                      <w:szCs w:val="24"/>
                    </w:rPr>
                  </m:ctrlPr>
                </m:e>
                <m:sub>
                  <m:r>
                    <m:rPr/>
                    <w:rPr>
                      <w:rFonts w:hint="default" w:ascii="Cambria Math" w:hAnsi="Cambria Math"/>
                      <w:color w:val="auto"/>
                      <w:sz w:val="24"/>
                      <w:szCs w:val="24"/>
                    </w:rPr>
                    <m:t>p2i</m:t>
                  </m:r>
                  <m:ctrlPr>
                    <w:rPr>
                      <w:rFonts w:hint="default" w:ascii="Cambria Math" w:hAnsi="Cambria Math"/>
                      <w:i/>
                      <w:color w:val="auto"/>
                      <w:sz w:val="24"/>
                      <w:szCs w:val="24"/>
                    </w:rPr>
                  </m:ctrlPr>
                </m:sub>
              </m:sSub>
              <m:d>
                <m:dPr>
                  <m:ctrlPr>
                    <w:rPr>
                      <w:rFonts w:hint="default" w:ascii="Cambria Math" w:hAnsi="Cambria Math"/>
                      <w:i/>
                      <w:color w:val="auto"/>
                      <w:sz w:val="24"/>
                      <w:szCs w:val="24"/>
                    </w:rPr>
                  </m:ctrlPr>
                </m:dPr>
                <m:e>
                  <m:r>
                    <m:rPr/>
                    <w:rPr>
                      <w:rFonts w:hint="default" w:ascii="Cambria Math" w:hAnsi="Cambria Math"/>
                      <w:color w:val="auto"/>
                      <w:sz w:val="24"/>
                      <w:szCs w:val="24"/>
                    </w:rPr>
                    <m:t>T</m:t>
                  </m:r>
                  <m:ctrlPr>
                    <w:rPr>
                      <w:rFonts w:hint="default" w:ascii="Cambria Math" w:hAnsi="Cambria Math"/>
                      <w:i/>
                      <w:color w:val="auto"/>
                      <w:sz w:val="24"/>
                      <w:szCs w:val="24"/>
                    </w:rPr>
                  </m:ctrlPr>
                </m:e>
              </m:d>
            </m:oMath>
            <w:r>
              <w:rPr>
                <w:color w:val="auto"/>
                <w:sz w:val="24"/>
                <w:szCs w:val="24"/>
              </w:rPr>
              <w:t>，dB；</w:t>
            </w:r>
          </w:p>
          <w:p w14:paraId="0DECC350">
            <w:pPr>
              <w:spacing w:line="360" w:lineRule="auto"/>
              <w:ind w:left="480" w:leftChars="200"/>
              <w:jc w:val="center"/>
              <w:rPr>
                <w:color w:val="auto"/>
                <w:sz w:val="24"/>
              </w:rPr>
            </w:pPr>
            <m:oMathPara>
              <m:oMath>
                <m:sSub>
                  <m:sSubPr>
                    <m:ctrlPr>
                      <w:rPr>
                        <w:rFonts w:ascii="Cambria Math" w:hAnsi="Cambria Math"/>
                        <w:i/>
                        <w:color w:val="auto"/>
                        <w:sz w:val="24"/>
                      </w:rPr>
                    </m:ctrlPr>
                  </m:sSubPr>
                  <m:e>
                    <m:r>
                      <m:rPr/>
                      <w:rPr>
                        <w:rFonts w:ascii="Cambria Math" w:hAnsi="Cambria Math"/>
                        <w:color w:val="auto"/>
                        <w:sz w:val="24"/>
                      </w:rPr>
                      <m:t>L</m:t>
                    </m:r>
                    <m:ctrlPr>
                      <w:rPr>
                        <w:rFonts w:ascii="Cambria Math" w:hAnsi="Cambria Math"/>
                        <w:i/>
                        <w:color w:val="auto"/>
                        <w:sz w:val="24"/>
                      </w:rPr>
                    </m:ctrlPr>
                  </m:e>
                  <m:sub>
                    <m:r>
                      <m:rPr/>
                      <w:rPr>
                        <w:rFonts w:ascii="Cambria Math" w:hAnsi="Cambria Math"/>
                        <w:color w:val="auto"/>
                        <w:sz w:val="24"/>
                      </w:rPr>
                      <m:t>p2i</m:t>
                    </m:r>
                    <m:ctrlPr>
                      <w:rPr>
                        <w:rFonts w:ascii="Cambria Math" w:hAnsi="Cambria Math"/>
                        <w:i/>
                        <w:color w:val="auto"/>
                        <w:sz w:val="24"/>
                      </w:rPr>
                    </m:ctrlPr>
                  </m:sub>
                </m:sSub>
                <m:d>
                  <m:dPr>
                    <m:ctrlPr>
                      <w:rPr>
                        <w:rFonts w:ascii="Cambria Math" w:hAnsi="Cambria Math"/>
                        <w:i/>
                        <w:color w:val="auto"/>
                        <w:sz w:val="24"/>
                      </w:rPr>
                    </m:ctrlPr>
                  </m:dPr>
                  <m:e>
                    <m:r>
                      <m:rPr/>
                      <w:rPr>
                        <w:rFonts w:ascii="Cambria Math" w:hAnsi="Cambria Math"/>
                        <w:color w:val="auto"/>
                        <w:sz w:val="24"/>
                      </w:rPr>
                      <m:t>T</m:t>
                    </m:r>
                    <m:ctrlPr>
                      <w:rPr>
                        <w:rFonts w:ascii="Cambria Math" w:hAnsi="Cambria Math"/>
                        <w:i/>
                        <w:color w:val="auto"/>
                        <w:sz w:val="24"/>
                      </w:rPr>
                    </m:ctrlPr>
                  </m:e>
                </m:d>
                <m:r>
                  <m:rPr/>
                  <w:rPr>
                    <w:rFonts w:ascii="Cambria Math" w:hAnsi="Cambria Math"/>
                    <w:color w:val="auto"/>
                    <w:sz w:val="24"/>
                  </w:rPr>
                  <m:t>=</m:t>
                </m:r>
                <m:sSub>
                  <m:sSubPr>
                    <m:ctrlPr>
                      <w:rPr>
                        <w:rFonts w:ascii="Cambria Math" w:hAnsi="Cambria Math"/>
                        <w:i/>
                        <w:color w:val="auto"/>
                        <w:sz w:val="24"/>
                      </w:rPr>
                    </m:ctrlPr>
                  </m:sSubPr>
                  <m:e>
                    <m:r>
                      <m:rPr/>
                      <w:rPr>
                        <w:rFonts w:ascii="Cambria Math" w:hAnsi="Cambria Math"/>
                        <w:color w:val="auto"/>
                        <w:sz w:val="24"/>
                      </w:rPr>
                      <m:t>L</m:t>
                    </m:r>
                    <m:ctrlPr>
                      <w:rPr>
                        <w:rFonts w:ascii="Cambria Math" w:hAnsi="Cambria Math"/>
                        <w:i/>
                        <w:color w:val="auto"/>
                        <w:sz w:val="24"/>
                      </w:rPr>
                    </m:ctrlPr>
                  </m:e>
                  <m:sub>
                    <m:r>
                      <m:rPr/>
                      <w:rPr>
                        <w:rFonts w:ascii="Cambria Math" w:hAnsi="Cambria Math"/>
                        <w:color w:val="auto"/>
                        <w:sz w:val="24"/>
                      </w:rPr>
                      <m:t>p1i</m:t>
                    </m:r>
                    <m:ctrlPr>
                      <w:rPr>
                        <w:rFonts w:ascii="Cambria Math" w:hAnsi="Cambria Math"/>
                        <w:i/>
                        <w:color w:val="auto"/>
                        <w:sz w:val="24"/>
                      </w:rPr>
                    </m:ctrlPr>
                  </m:sub>
                </m:sSub>
                <m:d>
                  <m:dPr>
                    <m:ctrlPr>
                      <w:rPr>
                        <w:rFonts w:ascii="Cambria Math" w:hAnsi="Cambria Math"/>
                        <w:i/>
                        <w:color w:val="auto"/>
                        <w:sz w:val="24"/>
                      </w:rPr>
                    </m:ctrlPr>
                  </m:dPr>
                  <m:e>
                    <m:r>
                      <m:rPr/>
                      <w:rPr>
                        <w:rFonts w:ascii="Cambria Math" w:hAnsi="Cambria Math"/>
                        <w:color w:val="auto"/>
                        <w:sz w:val="24"/>
                      </w:rPr>
                      <m:t>T</m:t>
                    </m:r>
                    <m:ctrlPr>
                      <w:rPr>
                        <w:rFonts w:ascii="Cambria Math" w:hAnsi="Cambria Math"/>
                        <w:i/>
                        <w:color w:val="auto"/>
                        <w:sz w:val="24"/>
                      </w:rPr>
                    </m:ctrlPr>
                  </m:e>
                </m:d>
                <m:r>
                  <m:rPr/>
                  <w:rPr>
                    <w:rFonts w:ascii="Cambria Math" w:hAnsi="Cambria Math"/>
                    <w:color w:val="auto"/>
                    <w:sz w:val="24"/>
                  </w:rPr>
                  <m:t>−</m:t>
                </m:r>
                <m:d>
                  <m:dPr>
                    <m:ctrlPr>
                      <w:rPr>
                        <w:rFonts w:ascii="Cambria Math" w:hAnsi="Cambria Math"/>
                        <w:i/>
                        <w:color w:val="auto"/>
                        <w:sz w:val="24"/>
                      </w:rPr>
                    </m:ctrlPr>
                  </m:dPr>
                  <m:e>
                    <m:r>
                      <m:rPr/>
                      <w:rPr>
                        <w:rFonts w:ascii="Cambria Math" w:hAnsi="Cambria Math"/>
                        <w:color w:val="auto"/>
                        <w:sz w:val="24"/>
                      </w:rPr>
                      <m:t>T</m:t>
                    </m:r>
                    <m:sSub>
                      <m:sSubPr>
                        <m:ctrlPr>
                          <w:rPr>
                            <w:rFonts w:ascii="Cambria Math" w:hAnsi="Cambria Math"/>
                            <w:i/>
                            <w:color w:val="auto"/>
                            <w:sz w:val="24"/>
                          </w:rPr>
                        </m:ctrlPr>
                      </m:sSubPr>
                      <m:e>
                        <m:r>
                          <m:rPr/>
                          <w:rPr>
                            <w:rFonts w:ascii="Cambria Math" w:hAnsi="Cambria Math"/>
                            <w:color w:val="auto"/>
                            <w:sz w:val="24"/>
                          </w:rPr>
                          <m:t>L</m:t>
                        </m:r>
                        <m:ctrlPr>
                          <w:rPr>
                            <w:rFonts w:ascii="Cambria Math" w:hAnsi="Cambria Math"/>
                            <w:i/>
                            <w:color w:val="auto"/>
                            <w:sz w:val="24"/>
                          </w:rPr>
                        </m:ctrlPr>
                      </m:e>
                      <m:sub>
                        <m:r>
                          <m:rPr/>
                          <w:rPr>
                            <w:rFonts w:ascii="Cambria Math" w:hAnsi="Cambria Math"/>
                            <w:color w:val="auto"/>
                            <w:sz w:val="24"/>
                          </w:rPr>
                          <m:t>i</m:t>
                        </m:r>
                        <m:ctrlPr>
                          <w:rPr>
                            <w:rFonts w:ascii="Cambria Math" w:hAnsi="Cambria Math"/>
                            <w:i/>
                            <w:color w:val="auto"/>
                            <w:sz w:val="24"/>
                          </w:rPr>
                        </m:ctrlPr>
                      </m:sub>
                    </m:sSub>
                    <m:r>
                      <m:rPr/>
                      <w:rPr>
                        <w:rFonts w:ascii="Cambria Math" w:hAnsi="Cambria Math"/>
                        <w:color w:val="auto"/>
                        <w:sz w:val="24"/>
                      </w:rPr>
                      <m:t>+6</m:t>
                    </m:r>
                    <m:ctrlPr>
                      <w:rPr>
                        <w:rFonts w:ascii="Cambria Math" w:hAnsi="Cambria Math"/>
                        <w:i/>
                        <w:color w:val="auto"/>
                        <w:sz w:val="24"/>
                      </w:rPr>
                    </m:ctrlPr>
                  </m:e>
                </m:d>
              </m:oMath>
            </m:oMathPara>
          </w:p>
          <w:p w14:paraId="1F53C4B0">
            <w:pPr>
              <w:spacing w:line="360" w:lineRule="auto"/>
              <w:ind w:firstLine="480" w:firstLineChars="200"/>
              <w:rPr>
                <w:color w:val="auto"/>
                <w:sz w:val="24"/>
              </w:rPr>
            </w:pPr>
            <w:r>
              <w:rPr>
                <w:color w:val="auto"/>
                <w:sz w:val="24"/>
              </w:rPr>
              <w:t>式中：</w:t>
            </w:r>
            <m:oMath>
              <m:sSub>
                <m:sSubPr>
                  <m:ctrlPr>
                    <w:rPr>
                      <w:rFonts w:ascii="Cambria Math" w:hAnsi="Cambria Math"/>
                      <w:i/>
                      <w:color w:val="auto"/>
                      <w:sz w:val="24"/>
                    </w:rPr>
                  </m:ctrlPr>
                </m:sSubPr>
                <m:e>
                  <m:r>
                    <m:rPr/>
                    <w:rPr>
                      <w:rFonts w:ascii="Cambria Math" w:hAnsi="Cambria Math"/>
                      <w:color w:val="auto"/>
                      <w:sz w:val="24"/>
                    </w:rPr>
                    <m:t>L</m:t>
                  </m:r>
                  <m:ctrlPr>
                    <w:rPr>
                      <w:rFonts w:ascii="Cambria Math" w:hAnsi="Cambria Math"/>
                      <w:i/>
                      <w:color w:val="auto"/>
                      <w:sz w:val="24"/>
                    </w:rPr>
                  </m:ctrlPr>
                </m:e>
                <m:sub>
                  <m:r>
                    <m:rPr/>
                    <w:rPr>
                      <w:rFonts w:ascii="Cambria Math" w:hAnsi="Cambria Math"/>
                      <w:color w:val="auto"/>
                      <w:sz w:val="24"/>
                    </w:rPr>
                    <m:t>p2i</m:t>
                  </m:r>
                  <m:ctrlPr>
                    <w:rPr>
                      <w:rFonts w:ascii="Cambria Math" w:hAnsi="Cambria Math"/>
                      <w:i/>
                      <w:color w:val="auto"/>
                      <w:sz w:val="24"/>
                    </w:rPr>
                  </m:ctrlPr>
                </m:sub>
              </m:sSub>
              <m:d>
                <m:dPr>
                  <m:ctrlPr>
                    <w:rPr>
                      <w:rFonts w:ascii="Cambria Math" w:hAnsi="Cambria Math"/>
                      <w:i/>
                      <w:color w:val="auto"/>
                      <w:sz w:val="24"/>
                    </w:rPr>
                  </m:ctrlPr>
                </m:dPr>
                <m:e>
                  <m:r>
                    <m:rPr/>
                    <w:rPr>
                      <w:rFonts w:ascii="Cambria Math" w:hAnsi="Cambria Math"/>
                      <w:color w:val="auto"/>
                      <w:sz w:val="24"/>
                    </w:rPr>
                    <m:t>T</m:t>
                  </m:r>
                  <m:ctrlPr>
                    <w:rPr>
                      <w:rFonts w:ascii="Cambria Math" w:hAnsi="Cambria Math"/>
                      <w:i/>
                      <w:color w:val="auto"/>
                      <w:sz w:val="24"/>
                    </w:rPr>
                  </m:ctrlPr>
                </m:e>
              </m:d>
            </m:oMath>
            <w:r>
              <w:rPr>
                <w:color w:val="auto"/>
                <w:sz w:val="24"/>
              </w:rPr>
              <w:t>－靠近开口处（或窗户）室内某倍频带的声压级或A声级，dB；</w:t>
            </w:r>
          </w:p>
          <w:p w14:paraId="4D805DFD">
            <w:pPr>
              <w:spacing w:line="360" w:lineRule="auto"/>
              <w:ind w:firstLine="1200" w:firstLineChars="500"/>
              <w:rPr>
                <w:color w:val="auto"/>
                <w:sz w:val="24"/>
              </w:rPr>
            </w:pPr>
            <m:oMath>
              <m:sSub>
                <m:sSubPr>
                  <m:ctrlPr>
                    <w:rPr>
                      <w:rFonts w:ascii="Cambria Math" w:hAnsi="Cambria Math"/>
                      <w:i/>
                      <w:color w:val="auto"/>
                      <w:sz w:val="24"/>
                    </w:rPr>
                  </m:ctrlPr>
                </m:sSubPr>
                <m:e>
                  <m:r>
                    <m:rPr/>
                    <w:rPr>
                      <w:rFonts w:ascii="Cambria Math" w:hAnsi="Cambria Math"/>
                      <w:color w:val="auto"/>
                      <w:sz w:val="24"/>
                    </w:rPr>
                    <m:t>L</m:t>
                  </m:r>
                  <m:ctrlPr>
                    <w:rPr>
                      <w:rFonts w:ascii="Cambria Math" w:hAnsi="Cambria Math"/>
                      <w:i/>
                      <w:color w:val="auto"/>
                      <w:sz w:val="24"/>
                    </w:rPr>
                  </m:ctrlPr>
                </m:e>
                <m:sub>
                  <m:r>
                    <m:rPr/>
                    <w:rPr>
                      <w:rFonts w:ascii="Cambria Math" w:hAnsi="Cambria Math"/>
                      <w:color w:val="auto"/>
                      <w:sz w:val="24"/>
                    </w:rPr>
                    <m:t>p1i</m:t>
                  </m:r>
                  <m:ctrlPr>
                    <w:rPr>
                      <w:rFonts w:ascii="Cambria Math" w:hAnsi="Cambria Math"/>
                      <w:i/>
                      <w:color w:val="auto"/>
                      <w:sz w:val="24"/>
                    </w:rPr>
                  </m:ctrlPr>
                </m:sub>
              </m:sSub>
              <m:d>
                <m:dPr>
                  <m:ctrlPr>
                    <w:rPr>
                      <w:rFonts w:ascii="Cambria Math" w:hAnsi="Cambria Math"/>
                      <w:i/>
                      <w:color w:val="auto"/>
                      <w:sz w:val="24"/>
                    </w:rPr>
                  </m:ctrlPr>
                </m:dPr>
                <m:e>
                  <m:r>
                    <m:rPr/>
                    <w:rPr>
                      <w:rFonts w:ascii="Cambria Math" w:hAnsi="Cambria Math"/>
                      <w:color w:val="auto"/>
                      <w:sz w:val="24"/>
                    </w:rPr>
                    <m:t>T</m:t>
                  </m:r>
                  <m:ctrlPr>
                    <w:rPr>
                      <w:rFonts w:ascii="Cambria Math" w:hAnsi="Cambria Math"/>
                      <w:i/>
                      <w:color w:val="auto"/>
                      <w:sz w:val="24"/>
                    </w:rPr>
                  </m:ctrlPr>
                </m:e>
              </m:d>
            </m:oMath>
            <w:r>
              <w:rPr>
                <w:color w:val="auto"/>
                <w:sz w:val="24"/>
              </w:rPr>
              <w:t>－靠近开口处（或窗户）室</w:t>
            </w:r>
            <w:r>
              <w:rPr>
                <w:rFonts w:hint="eastAsia"/>
                <w:color w:val="auto"/>
                <w:sz w:val="24"/>
              </w:rPr>
              <w:t>外</w:t>
            </w:r>
            <w:r>
              <w:rPr>
                <w:color w:val="auto"/>
                <w:sz w:val="24"/>
              </w:rPr>
              <w:t>某倍频带的声压级或A声级，dB；</w:t>
            </w:r>
          </w:p>
          <w:p w14:paraId="10223CA0">
            <w:pPr>
              <w:pStyle w:val="11"/>
              <w:keepNext w:val="0"/>
              <w:keepLines w:val="0"/>
              <w:pageBreakBefore w:val="0"/>
              <w:widowControl/>
              <w:kinsoku/>
              <w:wordWrap/>
              <w:overflowPunct/>
              <w:topLinePunct w:val="0"/>
              <w:autoSpaceDE/>
              <w:autoSpaceDN/>
              <w:bidi w:val="0"/>
              <w:adjustRightInd w:val="0"/>
              <w:snapToGrid w:val="0"/>
              <w:spacing w:before="0" w:after="0" w:line="360" w:lineRule="auto"/>
              <w:ind w:right="0" w:firstLine="1200" w:firstLineChars="500"/>
              <w:textAlignment w:val="auto"/>
              <w:rPr>
                <w:rFonts w:hint="eastAsia" w:ascii="Times New Roman" w:hAnsi="Times New Roman" w:eastAsia="宋体" w:cs="Times New Roman"/>
                <w:color w:val="auto"/>
                <w:sz w:val="24"/>
                <w:lang w:eastAsia="zh-CN"/>
              </w:rPr>
            </w:pPr>
            <m:oMath>
              <m:r>
                <m:rPr/>
                <w:rPr>
                  <w:rFonts w:ascii="Cambria Math" w:hAnsi="Cambria Math"/>
                  <w:color w:val="auto"/>
                  <w:sz w:val="24"/>
                  <w:szCs w:val="24"/>
                </w:rPr>
                <m:t>T</m:t>
              </m:r>
              <m:sSub>
                <m:sSubPr>
                  <m:ctrlPr>
                    <w:rPr>
                      <w:rFonts w:ascii="Cambria Math" w:hAnsi="Cambria Math"/>
                      <w:i/>
                      <w:color w:val="auto"/>
                      <w:sz w:val="24"/>
                      <w:szCs w:val="24"/>
                    </w:rPr>
                  </m:ctrlPr>
                </m:sSubPr>
                <m:e>
                  <m:r>
                    <m:rPr/>
                    <w:rPr>
                      <w:rFonts w:ascii="Cambria Math" w:hAnsi="Cambria Math"/>
                      <w:color w:val="auto"/>
                      <w:sz w:val="24"/>
                      <w:szCs w:val="24"/>
                    </w:rPr>
                    <m:t>L</m:t>
                  </m:r>
                  <m:ctrlPr>
                    <w:rPr>
                      <w:rFonts w:ascii="Cambria Math" w:hAnsi="Cambria Math"/>
                      <w:i/>
                      <w:color w:val="auto"/>
                      <w:sz w:val="24"/>
                      <w:szCs w:val="24"/>
                    </w:rPr>
                  </m:ctrlPr>
                </m:e>
                <m:sub>
                  <m:r>
                    <m:rPr/>
                    <w:rPr>
                      <w:rFonts w:ascii="Cambria Math" w:hAnsi="Cambria Math"/>
                      <w:color w:val="auto"/>
                      <w:sz w:val="24"/>
                      <w:szCs w:val="24"/>
                    </w:rPr>
                    <m:t>i</m:t>
                  </m:r>
                  <m:ctrlPr>
                    <w:rPr>
                      <w:rFonts w:ascii="Cambria Math" w:hAnsi="Cambria Math"/>
                      <w:i/>
                      <w:color w:val="auto"/>
                      <w:sz w:val="24"/>
                      <w:szCs w:val="24"/>
                    </w:rPr>
                  </m:ctrlPr>
                </m:sub>
              </m:sSub>
            </m:oMath>
            <w:r>
              <w:rPr>
                <w:color w:val="auto"/>
                <w:sz w:val="24"/>
                <w:szCs w:val="24"/>
              </w:rPr>
              <w:t>－</w:t>
            </w:r>
            <w:r>
              <w:rPr>
                <w:rFonts w:hint="eastAsia"/>
                <w:color w:val="auto"/>
                <w:sz w:val="24"/>
                <w:szCs w:val="24"/>
              </w:rPr>
              <w:t>隔墙</w:t>
            </w:r>
            <w:r>
              <w:rPr>
                <w:color w:val="auto"/>
                <w:sz w:val="24"/>
                <w:szCs w:val="24"/>
              </w:rPr>
              <w:t>（或窗户）倍频带或A声级</w:t>
            </w:r>
            <w:r>
              <w:rPr>
                <w:rFonts w:hint="eastAsia"/>
                <w:color w:val="auto"/>
                <w:sz w:val="24"/>
                <w:szCs w:val="24"/>
              </w:rPr>
              <w:t>的隔声量</w:t>
            </w:r>
            <w:r>
              <w:rPr>
                <w:color w:val="auto"/>
                <w:sz w:val="24"/>
                <w:szCs w:val="24"/>
              </w:rPr>
              <w:t>，dB。</w:t>
            </w:r>
            <w:r>
              <w:rPr>
                <w:rFonts w:hint="eastAsia" w:ascii="Times New Roman" w:hAnsi="Times New Roman" w:eastAsia="宋体" w:cs="Times New Roman"/>
                <w:color w:val="auto"/>
                <w:sz w:val="24"/>
                <w:lang w:val="en-US" w:eastAsia="zh-CN"/>
              </w:rPr>
              <w:t>本项目取20</w:t>
            </w:r>
            <w:r>
              <w:rPr>
                <w:rFonts w:ascii="Times New Roman" w:hAnsi="Times New Roman" w:eastAsia="宋体" w:cs="Times New Roman"/>
                <w:color w:val="auto"/>
                <w:sz w:val="24"/>
              </w:rPr>
              <w:t>dB</w:t>
            </w:r>
            <w:r>
              <w:rPr>
                <w:rFonts w:hint="eastAsia" w:ascii="Times New Roman" w:hAnsi="Times New Roman" w:eastAsia="宋体" w:cs="Times New Roman"/>
                <w:color w:val="auto"/>
                <w:sz w:val="24"/>
                <w:lang w:eastAsia="zh-CN"/>
              </w:rPr>
              <w:t>。</w:t>
            </w:r>
          </w:p>
          <w:p w14:paraId="7498A3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（3）总声压级</w:t>
            </w:r>
          </w:p>
          <w:p w14:paraId="138932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设第i个室外声源在预测点产生的A声级为LAi</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在T时间内该声源工作时间为ti；第j个等效室外声源在预测点产生的A声级为LAj，在T时间内该声源工作时间为tj，则拟建工程声源对预测点产</w:t>
            </w:r>
            <w:r>
              <w:rPr>
                <w:rFonts w:hint="eastAsia" w:ascii="Times New Roman" w:hAnsi="Times New Roman" w:eastAsia="宋体" w:cs="Times New Roman"/>
                <w:color w:val="auto"/>
                <w:sz w:val="24"/>
                <w:lang w:eastAsia="zh-CN"/>
              </w:rPr>
              <w:t>生</w:t>
            </w:r>
            <w:r>
              <w:rPr>
                <w:rFonts w:hint="default" w:ascii="Times New Roman" w:hAnsi="Times New Roman" w:eastAsia="宋体" w:cs="Times New Roman"/>
                <w:color w:val="auto"/>
                <w:sz w:val="24"/>
              </w:rPr>
              <w:t>的贡献值（Leqg）为：</w:t>
            </w:r>
          </w:p>
          <w:p w14:paraId="79F4884F">
            <w:pPr>
              <w:pStyle w:val="11"/>
              <w:spacing w:before="0" w:after="0" w:line="360" w:lineRule="auto"/>
              <w:jc w:val="center"/>
              <w:rPr>
                <w:color w:val="auto"/>
                <w:sz w:val="24"/>
                <w:szCs w:val="24"/>
              </w:rPr>
            </w:pPr>
            <m:oMathPara>
              <m:oMath>
                <m:sSub>
                  <m:sSubPr>
                    <m:ctrlPr>
                      <w:rPr>
                        <w:rFonts w:hint="default" w:ascii="Cambria Math" w:hAnsi="Cambria Math"/>
                        <w:i/>
                        <w:color w:val="auto"/>
                        <w:sz w:val="24"/>
                        <w:szCs w:val="24"/>
                      </w:rPr>
                    </m:ctrlPr>
                  </m:sSubPr>
                  <m:e>
                    <m:r>
                      <m:rPr/>
                      <w:rPr>
                        <w:rFonts w:hint="default" w:ascii="Cambria Math" w:hAnsi="Cambria Math"/>
                        <w:color w:val="auto"/>
                        <w:sz w:val="24"/>
                        <w:szCs w:val="24"/>
                      </w:rPr>
                      <m:t>L</m:t>
                    </m:r>
                    <m:ctrlPr>
                      <w:rPr>
                        <w:rFonts w:hint="default" w:ascii="Cambria Math" w:hAnsi="Cambria Math"/>
                        <w:i/>
                        <w:color w:val="auto"/>
                        <w:sz w:val="24"/>
                        <w:szCs w:val="24"/>
                      </w:rPr>
                    </m:ctrlPr>
                  </m:e>
                  <m:sub>
                    <m:r>
                      <m:rPr/>
                      <w:rPr>
                        <w:rFonts w:hint="default" w:ascii="Cambria Math" w:hAnsi="Cambria Math"/>
                        <w:color w:val="auto"/>
                        <w:sz w:val="24"/>
                        <w:szCs w:val="24"/>
                      </w:rPr>
                      <m:t>eqg</m:t>
                    </m:r>
                    <m:ctrlPr>
                      <w:rPr>
                        <w:rFonts w:hint="default" w:ascii="Cambria Math" w:hAnsi="Cambria Math"/>
                        <w:i/>
                        <w:color w:val="auto"/>
                        <w:sz w:val="24"/>
                        <w:szCs w:val="24"/>
                      </w:rPr>
                    </m:ctrlPr>
                  </m:sub>
                </m:sSub>
                <m:r>
                  <m:rPr/>
                  <w:rPr>
                    <w:rFonts w:hint="default" w:ascii="Cambria Math" w:hAnsi="Cambria Math"/>
                    <w:color w:val="auto"/>
                    <w:sz w:val="24"/>
                    <w:szCs w:val="24"/>
                  </w:rPr>
                  <m:t>=10</m:t>
                </m:r>
                <m:func>
                  <m:funcPr>
                    <m:ctrlPr>
                      <w:rPr>
                        <w:rFonts w:hint="default" w:ascii="Cambria Math" w:hAnsi="Cambria Math"/>
                        <w:color w:val="auto"/>
                        <w:sz w:val="24"/>
                        <w:szCs w:val="24"/>
                      </w:rPr>
                    </m:ctrlPr>
                  </m:funcPr>
                  <m:fName>
                    <m:r>
                      <m:rPr>
                        <m:sty m:val="p"/>
                      </m:rPr>
                      <w:rPr>
                        <w:rFonts w:hint="default" w:ascii="Cambria Math" w:hAnsi="Cambria Math"/>
                        <w:color w:val="auto"/>
                        <w:sz w:val="24"/>
                        <w:szCs w:val="24"/>
                      </w:rPr>
                      <m:t>lg</m:t>
                    </m:r>
                    <m:ctrlPr>
                      <w:rPr>
                        <w:rFonts w:hint="default" w:ascii="Cambria Math" w:hAnsi="Cambria Math"/>
                        <w:i/>
                        <w:color w:val="auto"/>
                        <w:sz w:val="24"/>
                        <w:szCs w:val="24"/>
                      </w:rPr>
                    </m:ctrlPr>
                  </m:fName>
                  <m:e>
                    <m:d>
                      <m:dPr>
                        <m:begChr m:val="["/>
                        <m:endChr m:val="]"/>
                        <m:ctrlPr>
                          <w:rPr>
                            <w:rFonts w:hint="default" w:ascii="Cambria Math" w:hAnsi="Cambria Math"/>
                            <w:i/>
                            <w:color w:val="auto"/>
                            <w:sz w:val="24"/>
                            <w:szCs w:val="24"/>
                          </w:rPr>
                        </m:ctrlPr>
                      </m:dPr>
                      <m:e>
                        <m:f>
                          <m:fPr>
                            <m:ctrlPr>
                              <w:rPr>
                                <w:rFonts w:hint="default" w:ascii="Cambria Math" w:hAnsi="Cambria Math"/>
                                <w:color w:val="auto"/>
                                <w:sz w:val="24"/>
                                <w:szCs w:val="24"/>
                              </w:rPr>
                            </m:ctrlPr>
                          </m:fPr>
                          <m:num>
                            <m:r>
                              <m:rPr>
                                <m:sty m:val="p"/>
                              </m:rPr>
                              <w:rPr>
                                <w:rFonts w:hint="default" w:ascii="Cambria Math" w:hAnsi="Cambria Math"/>
                                <w:color w:val="auto"/>
                                <w:sz w:val="24"/>
                                <w:szCs w:val="24"/>
                              </w:rPr>
                              <m:t>1</m:t>
                            </m:r>
                            <m:ctrlPr>
                              <w:rPr>
                                <w:rFonts w:hint="default" w:ascii="Cambria Math" w:hAnsi="Cambria Math"/>
                                <w:color w:val="auto"/>
                                <w:sz w:val="24"/>
                                <w:szCs w:val="24"/>
                              </w:rPr>
                            </m:ctrlPr>
                          </m:num>
                          <m:den>
                            <m:r>
                              <m:rPr>
                                <m:sty m:val="p"/>
                              </m:rPr>
                              <w:rPr>
                                <w:rFonts w:hint="default" w:ascii="Cambria Math" w:hAnsi="Cambria Math"/>
                                <w:color w:val="auto"/>
                                <w:sz w:val="24"/>
                                <w:szCs w:val="24"/>
                              </w:rPr>
                              <m:t>T</m:t>
                            </m:r>
                            <m:ctrlPr>
                              <w:rPr>
                                <w:rFonts w:hint="default" w:ascii="Cambria Math" w:hAnsi="Cambria Math"/>
                                <w:color w:val="auto"/>
                                <w:sz w:val="24"/>
                                <w:szCs w:val="24"/>
                              </w:rPr>
                            </m:ctrlPr>
                          </m:den>
                        </m:f>
                        <m:d>
                          <m:dPr>
                            <m:ctrlPr>
                              <w:rPr>
                                <w:rFonts w:hint="default" w:ascii="Cambria Math" w:hAnsi="Cambria Math"/>
                                <w:color w:val="auto"/>
                                <w:sz w:val="24"/>
                                <w:szCs w:val="24"/>
                              </w:rPr>
                            </m:ctrlPr>
                          </m:dPr>
                          <m:e>
                            <m:nary>
                              <m:naryPr>
                                <m:chr m:val="∑"/>
                                <m:limLoc m:val="undOvr"/>
                                <m:ctrlPr>
                                  <w:rPr>
                                    <w:rFonts w:hint="default" w:ascii="Cambria Math" w:hAnsi="Cambria Math"/>
                                    <w:i/>
                                    <w:color w:val="auto"/>
                                    <w:sz w:val="24"/>
                                    <w:szCs w:val="24"/>
                                  </w:rPr>
                                </m:ctrlPr>
                              </m:naryPr>
                              <m:sub>
                                <m:r>
                                  <m:rPr/>
                                  <w:rPr>
                                    <w:rFonts w:hint="default" w:ascii="Cambria Math" w:hAnsi="Cambria Math"/>
                                    <w:color w:val="auto"/>
                                    <w:sz w:val="24"/>
                                    <w:szCs w:val="24"/>
                                  </w:rPr>
                                  <m:t>i=1</m:t>
                                </m:r>
                                <m:ctrlPr>
                                  <w:rPr>
                                    <w:rFonts w:hint="default" w:ascii="Cambria Math" w:hAnsi="Cambria Math"/>
                                    <w:i/>
                                    <w:color w:val="auto"/>
                                    <w:sz w:val="24"/>
                                    <w:szCs w:val="24"/>
                                  </w:rPr>
                                </m:ctrlPr>
                              </m:sub>
                              <m:sup>
                                <m:r>
                                  <m:rPr/>
                                  <w:rPr>
                                    <w:rFonts w:hint="default" w:ascii="Cambria Math" w:hAnsi="Cambria Math"/>
                                    <w:color w:val="auto"/>
                                    <w:sz w:val="24"/>
                                    <w:szCs w:val="24"/>
                                    <w:lang w:val="en-US" w:eastAsia="zh-CN"/>
                                  </w:rPr>
                                  <m:t>N</m:t>
                                </m:r>
                                <m:ctrlPr>
                                  <w:rPr>
                                    <w:rFonts w:hint="default" w:ascii="Cambria Math" w:hAnsi="Cambria Math"/>
                                    <w:i/>
                                    <w:color w:val="auto"/>
                                    <w:sz w:val="24"/>
                                    <w:szCs w:val="24"/>
                                  </w:rPr>
                                </m:ctrlPr>
                              </m:sup>
                              <m:e>
                                <m:sSup>
                                  <m:sSupPr>
                                    <m:ctrlPr>
                                      <w:rPr>
                                        <w:rFonts w:hint="default" w:ascii="Cambria Math" w:hAnsi="Cambria Math"/>
                                        <w:i/>
                                        <w:color w:val="auto"/>
                                        <w:sz w:val="24"/>
                                        <w:szCs w:val="24"/>
                                      </w:rPr>
                                    </m:ctrlPr>
                                  </m:sSupPr>
                                  <m:e>
                                    <m:sSub>
                                      <m:sSubPr>
                                        <m:ctrlPr>
                                          <w:rPr>
                                            <w:rFonts w:hint="default" w:ascii="Cambria Math" w:hAnsi="Cambria Math"/>
                                            <w:i/>
                                            <w:color w:val="auto"/>
                                            <w:sz w:val="24"/>
                                            <w:szCs w:val="24"/>
                                          </w:rPr>
                                        </m:ctrlPr>
                                      </m:sSubPr>
                                      <m:e>
                                        <m:r>
                                          <m:rPr/>
                                          <w:rPr>
                                            <w:rFonts w:hint="default" w:ascii="Cambria Math" w:hAnsi="Cambria Math"/>
                                            <w:color w:val="auto"/>
                                            <w:sz w:val="24"/>
                                            <w:szCs w:val="24"/>
                                          </w:rPr>
                                          <m:t>t</m:t>
                                        </m:r>
                                        <m:ctrlPr>
                                          <w:rPr>
                                            <w:rFonts w:hint="default" w:ascii="Cambria Math" w:hAnsi="Cambria Math"/>
                                            <w:i/>
                                            <w:color w:val="auto"/>
                                            <w:sz w:val="24"/>
                                            <w:szCs w:val="24"/>
                                          </w:rPr>
                                        </m:ctrlPr>
                                      </m:e>
                                      <m:sub>
                                        <m:r>
                                          <m:rPr/>
                                          <w:rPr>
                                            <w:rFonts w:hint="default" w:ascii="Cambria Math" w:hAnsi="Cambria Math"/>
                                            <w:color w:val="auto"/>
                                            <w:sz w:val="24"/>
                                            <w:szCs w:val="24"/>
                                          </w:rPr>
                                          <m:t>i</m:t>
                                        </m:r>
                                        <m:ctrlPr>
                                          <w:rPr>
                                            <w:rFonts w:hint="default" w:ascii="Cambria Math" w:hAnsi="Cambria Math"/>
                                            <w:i/>
                                            <w:color w:val="auto"/>
                                            <w:sz w:val="24"/>
                                            <w:szCs w:val="24"/>
                                          </w:rPr>
                                        </m:ctrlPr>
                                      </m:sub>
                                    </m:sSub>
                                    <m:r>
                                      <m:rPr/>
                                      <w:rPr>
                                        <w:rFonts w:hint="default" w:ascii="Cambria Math" w:hAnsi="Cambria Math"/>
                                        <w:color w:val="auto"/>
                                        <w:sz w:val="24"/>
                                        <w:szCs w:val="24"/>
                                      </w:rPr>
                                      <m:t>10</m:t>
                                    </m:r>
                                    <m:ctrlPr>
                                      <w:rPr>
                                        <w:rFonts w:hint="default" w:ascii="Cambria Math" w:hAnsi="Cambria Math"/>
                                        <w:i/>
                                        <w:color w:val="auto"/>
                                        <w:sz w:val="24"/>
                                        <w:szCs w:val="24"/>
                                      </w:rPr>
                                    </m:ctrlPr>
                                  </m:e>
                                  <m:sup>
                                    <m:sSub>
                                      <m:sSubPr>
                                        <m:ctrlPr>
                                          <w:rPr>
                                            <w:rFonts w:hint="default" w:ascii="Cambria Math" w:hAnsi="Cambria Math"/>
                                            <w:i/>
                                            <w:color w:val="auto"/>
                                            <w:sz w:val="24"/>
                                            <w:szCs w:val="24"/>
                                          </w:rPr>
                                        </m:ctrlPr>
                                      </m:sSubPr>
                                      <m:e>
                                        <m:r>
                                          <m:rPr/>
                                          <w:rPr>
                                            <w:rFonts w:hint="default" w:ascii="Cambria Math" w:hAnsi="Cambria Math"/>
                                            <w:color w:val="auto"/>
                                            <w:sz w:val="24"/>
                                            <w:szCs w:val="24"/>
                                          </w:rPr>
                                          <m:t>0.1L</m:t>
                                        </m:r>
                                        <m:ctrlPr>
                                          <w:rPr>
                                            <w:rFonts w:hint="default" w:ascii="Cambria Math" w:hAnsi="Cambria Math"/>
                                            <w:i/>
                                            <w:color w:val="auto"/>
                                            <w:sz w:val="24"/>
                                            <w:szCs w:val="24"/>
                                          </w:rPr>
                                        </m:ctrlPr>
                                      </m:e>
                                      <m:sub>
                                        <m:r>
                                          <m:rPr/>
                                          <w:rPr>
                                            <w:rFonts w:hint="default" w:ascii="Cambria Math" w:hAnsi="Cambria Math"/>
                                            <w:color w:val="auto"/>
                                            <w:sz w:val="24"/>
                                            <w:szCs w:val="24"/>
                                          </w:rPr>
                                          <m:t>Ai</m:t>
                                        </m:r>
                                        <m:ctrlPr>
                                          <w:rPr>
                                            <w:rFonts w:hint="default" w:ascii="Cambria Math" w:hAnsi="Cambria Math"/>
                                            <w:i/>
                                            <w:color w:val="auto"/>
                                            <w:sz w:val="24"/>
                                            <w:szCs w:val="24"/>
                                          </w:rPr>
                                        </m:ctrlPr>
                                      </m:sub>
                                    </m:sSub>
                                    <m:ctrlPr>
                                      <w:rPr>
                                        <w:rFonts w:hint="default" w:ascii="Cambria Math" w:hAnsi="Cambria Math"/>
                                        <w:i/>
                                        <w:color w:val="auto"/>
                                        <w:sz w:val="24"/>
                                        <w:szCs w:val="24"/>
                                      </w:rPr>
                                    </m:ctrlPr>
                                  </m:sup>
                                </m:sSup>
                                <m:ctrlPr>
                                  <w:rPr>
                                    <w:rFonts w:hint="default" w:ascii="Cambria Math" w:hAnsi="Cambria Math"/>
                                    <w:i/>
                                    <w:color w:val="auto"/>
                                    <w:sz w:val="24"/>
                                    <w:szCs w:val="24"/>
                                  </w:rPr>
                                </m:ctrlPr>
                              </m:e>
                            </m:nary>
                            <m:r>
                              <m:rPr/>
                              <w:rPr>
                                <w:rFonts w:hint="default" w:ascii="Cambria Math" w:hAnsi="Cambria Math"/>
                                <w:color w:val="auto"/>
                                <w:sz w:val="24"/>
                                <w:szCs w:val="24"/>
                                <w:lang w:val="en-US" w:eastAsia="zh-CN"/>
                              </w:rPr>
                              <m:t>+</m:t>
                            </m:r>
                            <m:nary>
                              <m:naryPr>
                                <m:chr m:val="∑"/>
                                <m:limLoc m:val="undOvr"/>
                                <m:ctrlPr>
                                  <w:rPr>
                                    <w:rFonts w:hint="default" w:ascii="Cambria Math" w:hAnsi="Cambria Math"/>
                                    <w:i/>
                                    <w:color w:val="auto"/>
                                    <w:sz w:val="24"/>
                                    <w:szCs w:val="24"/>
                                  </w:rPr>
                                </m:ctrlPr>
                              </m:naryPr>
                              <m:sub>
                                <m:r>
                                  <m:rPr/>
                                  <w:rPr>
                                    <w:rFonts w:hint="default" w:ascii="Cambria Math" w:hAnsi="Cambria Math"/>
                                    <w:color w:val="auto"/>
                                    <w:sz w:val="24"/>
                                    <w:szCs w:val="24"/>
                                    <w:lang w:val="en-US" w:eastAsia="zh-CN"/>
                                  </w:rPr>
                                  <m:t>j</m:t>
                                </m:r>
                                <m:r>
                                  <m:rPr/>
                                  <w:rPr>
                                    <w:rFonts w:hint="default" w:ascii="Cambria Math" w:hAnsi="Cambria Math"/>
                                    <w:color w:val="auto"/>
                                    <w:sz w:val="24"/>
                                    <w:szCs w:val="24"/>
                                  </w:rPr>
                                  <m:t>=1</m:t>
                                </m:r>
                                <m:ctrlPr>
                                  <w:rPr>
                                    <w:rFonts w:hint="default" w:ascii="Cambria Math" w:hAnsi="Cambria Math"/>
                                    <w:i/>
                                    <w:color w:val="auto"/>
                                    <w:sz w:val="24"/>
                                    <w:szCs w:val="24"/>
                                  </w:rPr>
                                </m:ctrlPr>
                              </m:sub>
                              <m:sup>
                                <m:r>
                                  <m:rPr/>
                                  <w:rPr>
                                    <w:rFonts w:hint="default" w:ascii="Cambria Math" w:hAnsi="Cambria Math"/>
                                    <w:color w:val="auto"/>
                                    <w:sz w:val="24"/>
                                    <w:szCs w:val="24"/>
                                    <w:lang w:val="en-US" w:eastAsia="zh-CN"/>
                                  </w:rPr>
                                  <m:t>M</m:t>
                                </m:r>
                                <m:ctrlPr>
                                  <w:rPr>
                                    <w:rFonts w:hint="default" w:ascii="Cambria Math" w:hAnsi="Cambria Math"/>
                                    <w:i/>
                                    <w:color w:val="auto"/>
                                    <w:sz w:val="24"/>
                                    <w:szCs w:val="24"/>
                                  </w:rPr>
                                </m:ctrlPr>
                              </m:sup>
                              <m:e>
                                <m:sSup>
                                  <m:sSupPr>
                                    <m:ctrlPr>
                                      <w:rPr>
                                        <w:rFonts w:hint="default" w:ascii="Cambria Math" w:hAnsi="Cambria Math"/>
                                        <w:i/>
                                        <w:color w:val="auto"/>
                                        <w:sz w:val="24"/>
                                        <w:szCs w:val="24"/>
                                      </w:rPr>
                                    </m:ctrlPr>
                                  </m:sSupPr>
                                  <m:e>
                                    <m:sSub>
                                      <m:sSubPr>
                                        <m:ctrlPr>
                                          <w:rPr>
                                            <w:rFonts w:hint="default" w:ascii="Cambria Math" w:hAnsi="Cambria Math"/>
                                            <w:i/>
                                            <w:color w:val="auto"/>
                                            <w:sz w:val="24"/>
                                            <w:szCs w:val="24"/>
                                          </w:rPr>
                                        </m:ctrlPr>
                                      </m:sSubPr>
                                      <m:e>
                                        <m:r>
                                          <m:rPr/>
                                          <w:rPr>
                                            <w:rFonts w:hint="default" w:ascii="Cambria Math" w:hAnsi="Cambria Math"/>
                                            <w:color w:val="auto"/>
                                            <w:sz w:val="24"/>
                                            <w:szCs w:val="24"/>
                                          </w:rPr>
                                          <m:t>t</m:t>
                                        </m:r>
                                        <m:ctrlPr>
                                          <w:rPr>
                                            <w:rFonts w:hint="default" w:ascii="Cambria Math" w:hAnsi="Cambria Math"/>
                                            <w:i/>
                                            <w:color w:val="auto"/>
                                            <w:sz w:val="24"/>
                                            <w:szCs w:val="24"/>
                                          </w:rPr>
                                        </m:ctrlPr>
                                      </m:e>
                                      <m:sub>
                                        <m:r>
                                          <m:rPr/>
                                          <w:rPr>
                                            <w:rFonts w:hint="default" w:ascii="Cambria Math" w:hAnsi="Cambria Math"/>
                                            <w:color w:val="auto"/>
                                            <w:sz w:val="24"/>
                                            <w:szCs w:val="24"/>
                                            <w:lang w:val="en-US" w:eastAsia="zh-CN"/>
                                          </w:rPr>
                                          <m:t>j</m:t>
                                        </m:r>
                                        <m:ctrlPr>
                                          <w:rPr>
                                            <w:rFonts w:hint="default" w:ascii="Cambria Math" w:hAnsi="Cambria Math"/>
                                            <w:i/>
                                            <w:color w:val="auto"/>
                                            <w:sz w:val="24"/>
                                            <w:szCs w:val="24"/>
                                          </w:rPr>
                                        </m:ctrlPr>
                                      </m:sub>
                                    </m:sSub>
                                    <m:r>
                                      <m:rPr/>
                                      <w:rPr>
                                        <w:rFonts w:hint="default" w:ascii="Cambria Math" w:hAnsi="Cambria Math"/>
                                        <w:color w:val="auto"/>
                                        <w:sz w:val="24"/>
                                        <w:szCs w:val="24"/>
                                      </w:rPr>
                                      <m:t>10</m:t>
                                    </m:r>
                                    <m:ctrlPr>
                                      <w:rPr>
                                        <w:rFonts w:hint="default" w:ascii="Cambria Math" w:hAnsi="Cambria Math"/>
                                        <w:i/>
                                        <w:color w:val="auto"/>
                                        <w:sz w:val="24"/>
                                        <w:szCs w:val="24"/>
                                      </w:rPr>
                                    </m:ctrlPr>
                                  </m:e>
                                  <m:sup>
                                    <m:sSub>
                                      <m:sSubPr>
                                        <m:ctrlPr>
                                          <w:rPr>
                                            <w:rFonts w:hint="default" w:ascii="Cambria Math" w:hAnsi="Cambria Math"/>
                                            <w:i/>
                                            <w:color w:val="auto"/>
                                            <w:sz w:val="24"/>
                                            <w:szCs w:val="24"/>
                                          </w:rPr>
                                        </m:ctrlPr>
                                      </m:sSubPr>
                                      <m:e>
                                        <m:r>
                                          <m:rPr/>
                                          <w:rPr>
                                            <w:rFonts w:hint="default" w:ascii="Cambria Math" w:hAnsi="Cambria Math"/>
                                            <w:color w:val="auto"/>
                                            <w:sz w:val="24"/>
                                            <w:szCs w:val="24"/>
                                          </w:rPr>
                                          <m:t>0.1L</m:t>
                                        </m:r>
                                        <m:ctrlPr>
                                          <w:rPr>
                                            <w:rFonts w:hint="default" w:ascii="Cambria Math" w:hAnsi="Cambria Math"/>
                                            <w:i/>
                                            <w:color w:val="auto"/>
                                            <w:sz w:val="24"/>
                                            <w:szCs w:val="24"/>
                                          </w:rPr>
                                        </m:ctrlPr>
                                      </m:e>
                                      <m:sub>
                                        <m:r>
                                          <m:rPr/>
                                          <w:rPr>
                                            <w:rFonts w:hint="default" w:ascii="Cambria Math" w:hAnsi="Cambria Math"/>
                                            <w:color w:val="auto"/>
                                            <w:sz w:val="24"/>
                                            <w:szCs w:val="24"/>
                                          </w:rPr>
                                          <m:t>A</m:t>
                                        </m:r>
                                        <m:r>
                                          <m:rPr/>
                                          <w:rPr>
                                            <w:rFonts w:hint="default" w:ascii="Cambria Math" w:hAnsi="Cambria Math"/>
                                            <w:color w:val="auto"/>
                                            <w:sz w:val="24"/>
                                            <w:szCs w:val="24"/>
                                            <w:lang w:val="en-US" w:eastAsia="zh-CN"/>
                                          </w:rPr>
                                          <m:t>j</m:t>
                                        </m:r>
                                        <m:ctrlPr>
                                          <w:rPr>
                                            <w:rFonts w:hint="default" w:ascii="Cambria Math" w:hAnsi="Cambria Math"/>
                                            <w:i/>
                                            <w:color w:val="auto"/>
                                            <w:sz w:val="24"/>
                                            <w:szCs w:val="24"/>
                                          </w:rPr>
                                        </m:ctrlPr>
                                      </m:sub>
                                    </m:sSub>
                                    <m:ctrlPr>
                                      <w:rPr>
                                        <w:rFonts w:hint="default" w:ascii="Cambria Math" w:hAnsi="Cambria Math"/>
                                        <w:i/>
                                        <w:color w:val="auto"/>
                                        <w:sz w:val="24"/>
                                        <w:szCs w:val="24"/>
                                      </w:rPr>
                                    </m:ctrlPr>
                                  </m:sup>
                                </m:sSup>
                                <m:ctrlPr>
                                  <w:rPr>
                                    <w:rFonts w:hint="default" w:ascii="Cambria Math" w:hAnsi="Cambria Math"/>
                                    <w:i/>
                                    <w:color w:val="auto"/>
                                    <w:sz w:val="24"/>
                                    <w:szCs w:val="24"/>
                                  </w:rPr>
                                </m:ctrlPr>
                              </m:e>
                            </m:nary>
                            <m:ctrlPr>
                              <w:rPr>
                                <w:rFonts w:hint="default" w:ascii="Cambria Math" w:hAnsi="Cambria Math"/>
                                <w:color w:val="auto"/>
                                <w:sz w:val="24"/>
                                <w:szCs w:val="24"/>
                              </w:rPr>
                            </m:ctrlPr>
                          </m:e>
                        </m:d>
                        <m:ctrlPr>
                          <w:rPr>
                            <w:rFonts w:hint="default" w:ascii="Cambria Math" w:hAnsi="Cambria Math"/>
                            <w:i/>
                            <w:color w:val="auto"/>
                            <w:sz w:val="24"/>
                            <w:szCs w:val="24"/>
                          </w:rPr>
                        </m:ctrlPr>
                      </m:e>
                    </m:d>
                    <m:r>
                      <m:rPr>
                        <m:sty m:val="p"/>
                      </m:rPr>
                      <w:rPr>
                        <w:rFonts w:hint="default" w:ascii="Cambria Math" w:hAnsi="Cambria Math"/>
                        <w:color w:val="auto"/>
                        <w:sz w:val="24"/>
                        <w:szCs w:val="24"/>
                        <w:lang w:eastAsia="zh-CN"/>
                      </w:rPr>
                      <m:t>）</m:t>
                    </m:r>
                    <m:ctrlPr>
                      <w:rPr>
                        <w:rFonts w:hint="default" w:ascii="Cambria Math" w:hAnsi="Cambria Math"/>
                        <w:i/>
                        <w:color w:val="auto"/>
                        <w:sz w:val="24"/>
                        <w:szCs w:val="24"/>
                      </w:rPr>
                    </m:ctrlPr>
                  </m:e>
                </m:func>
              </m:oMath>
            </m:oMathPara>
          </w:p>
          <w:p w14:paraId="0F04F58E">
            <w:pPr>
              <w:pStyle w:val="11"/>
              <w:spacing w:before="0" w:after="0" w:line="360" w:lineRule="auto"/>
              <w:ind w:right="0" w:firstLine="480" w:firstLineChars="200"/>
              <w:rPr>
                <w:color w:val="auto"/>
                <w:sz w:val="24"/>
                <w:szCs w:val="24"/>
              </w:rPr>
            </w:pPr>
            <w:r>
              <w:rPr>
                <w:color w:val="auto"/>
                <w:kern w:val="2"/>
                <w:sz w:val="24"/>
                <w:szCs w:val="24"/>
              </w:rPr>
              <w:t>式中：</w:t>
            </w:r>
            <m:oMath>
              <m:sSub>
                <m:sSubPr>
                  <m:ctrlPr>
                    <w:rPr>
                      <w:rFonts w:hint="default" w:ascii="Cambria Math" w:hAnsi="Cambria Math"/>
                      <w:i/>
                      <w:color w:val="auto"/>
                      <w:sz w:val="24"/>
                      <w:szCs w:val="24"/>
                    </w:rPr>
                  </m:ctrlPr>
                </m:sSubPr>
                <m:e>
                  <m:r>
                    <m:rPr/>
                    <w:rPr>
                      <w:rFonts w:hint="default" w:ascii="Cambria Math" w:hAnsi="Cambria Math"/>
                      <w:color w:val="auto"/>
                      <w:sz w:val="24"/>
                      <w:szCs w:val="24"/>
                    </w:rPr>
                    <m:t>L</m:t>
                  </m:r>
                  <m:ctrlPr>
                    <w:rPr>
                      <w:rFonts w:hint="default" w:ascii="Cambria Math" w:hAnsi="Cambria Math"/>
                      <w:i/>
                      <w:color w:val="auto"/>
                      <w:sz w:val="24"/>
                      <w:szCs w:val="24"/>
                    </w:rPr>
                  </m:ctrlPr>
                </m:e>
                <m:sub>
                  <m:r>
                    <m:rPr/>
                    <w:rPr>
                      <w:rFonts w:hint="default" w:ascii="Cambria Math" w:hAnsi="Cambria Math"/>
                      <w:color w:val="auto"/>
                      <w:sz w:val="24"/>
                      <w:szCs w:val="24"/>
                    </w:rPr>
                    <m:t>eqg</m:t>
                  </m:r>
                  <m:ctrlPr>
                    <w:rPr>
                      <w:rFonts w:hint="default" w:ascii="Cambria Math" w:hAnsi="Cambria Math"/>
                      <w:i/>
                      <w:color w:val="auto"/>
                      <w:sz w:val="24"/>
                      <w:szCs w:val="24"/>
                    </w:rPr>
                  </m:ctrlPr>
                </m:sub>
              </m:sSub>
            </m:oMath>
            <w:r>
              <w:rPr>
                <w:color w:val="auto"/>
                <w:sz w:val="24"/>
                <w:szCs w:val="24"/>
              </w:rPr>
              <w:t>－</w:t>
            </w:r>
            <w:r>
              <w:rPr>
                <w:rFonts w:hint="eastAsia"/>
                <w:color w:val="auto"/>
                <w:sz w:val="24"/>
                <w:szCs w:val="24"/>
              </w:rPr>
              <w:t>建设项目声源在预测点产生的噪声贡献值</w:t>
            </w:r>
            <w:r>
              <w:rPr>
                <w:color w:val="auto"/>
                <w:sz w:val="24"/>
                <w:szCs w:val="24"/>
              </w:rPr>
              <w:t>，dB；</w:t>
            </w:r>
          </w:p>
          <w:p w14:paraId="54CD9FBB">
            <w:pPr>
              <w:spacing w:line="360" w:lineRule="auto"/>
              <w:ind w:firstLine="1200" w:firstLineChars="500"/>
              <w:rPr>
                <w:color w:val="auto"/>
                <w:sz w:val="24"/>
              </w:rPr>
            </w:pPr>
            <m:oMath>
              <m:r>
                <m:rPr/>
                <w:rPr>
                  <w:rFonts w:hint="default" w:ascii="Cambria Math" w:hAnsi="Cambria Math"/>
                  <w:color w:val="auto"/>
                  <w:sz w:val="24"/>
                </w:rPr>
                <m:t>T</m:t>
              </m:r>
            </m:oMath>
            <w:r>
              <w:rPr>
                <w:color w:val="auto"/>
                <w:sz w:val="24"/>
              </w:rPr>
              <w:t>－</w:t>
            </w:r>
            <w:r>
              <w:rPr>
                <w:rFonts w:hint="eastAsia"/>
                <w:color w:val="auto"/>
                <w:sz w:val="24"/>
              </w:rPr>
              <w:t>用于计算等效声级的时间</w:t>
            </w:r>
            <w:r>
              <w:rPr>
                <w:color w:val="auto"/>
                <w:sz w:val="24"/>
              </w:rPr>
              <w:t>，s；</w:t>
            </w:r>
          </w:p>
          <w:p w14:paraId="07DD8C39">
            <w:pPr>
              <w:spacing w:line="360" w:lineRule="auto"/>
              <w:ind w:firstLine="1200" w:firstLineChars="500"/>
              <w:rPr>
                <w:color w:val="auto"/>
                <w:sz w:val="24"/>
              </w:rPr>
            </w:pPr>
            <w:r>
              <w:rPr>
                <w:rFonts w:hint="eastAsia"/>
                <w:i/>
                <w:iCs/>
                <w:color w:val="auto"/>
                <w:sz w:val="24"/>
              </w:rPr>
              <w:t>N</w:t>
            </w:r>
            <w:r>
              <w:rPr>
                <w:rFonts w:hint="eastAsia"/>
                <w:color w:val="auto"/>
                <w:sz w:val="24"/>
              </w:rPr>
              <w:t>—室外声源个数；</w:t>
            </w:r>
          </w:p>
          <w:p w14:paraId="7F0656B5">
            <w:pPr>
              <w:spacing w:line="360" w:lineRule="auto"/>
              <w:ind w:firstLine="1200" w:firstLineChars="500"/>
              <w:rPr>
                <w:color w:val="auto"/>
                <w:sz w:val="24"/>
              </w:rPr>
            </w:pPr>
            <m:oMath>
              <m:sSub>
                <m:sSubPr>
                  <m:ctrlPr>
                    <w:rPr>
                      <w:rFonts w:hint="default" w:ascii="Cambria Math" w:hAnsi="Cambria Math"/>
                      <w:i/>
                      <w:color w:val="auto"/>
                      <w:sz w:val="24"/>
                    </w:rPr>
                  </m:ctrlPr>
                </m:sSubPr>
                <m:e>
                  <m:r>
                    <m:rPr/>
                    <w:rPr>
                      <w:rFonts w:hint="default" w:ascii="Cambria Math" w:hAnsi="Cambria Math"/>
                      <w:color w:val="auto"/>
                      <w:sz w:val="24"/>
                    </w:rPr>
                    <m:t>t</m:t>
                  </m:r>
                  <m:ctrlPr>
                    <w:rPr>
                      <w:rFonts w:hint="default" w:ascii="Cambria Math" w:hAnsi="Cambria Math"/>
                      <w:i/>
                      <w:color w:val="auto"/>
                      <w:sz w:val="24"/>
                    </w:rPr>
                  </m:ctrlPr>
                </m:e>
                <m:sub>
                  <m:r>
                    <m:rPr/>
                    <w:rPr>
                      <w:rFonts w:hint="default" w:ascii="Cambria Math" w:hAnsi="Cambria Math"/>
                      <w:color w:val="auto"/>
                      <w:sz w:val="24"/>
                    </w:rPr>
                    <m:t>i</m:t>
                  </m:r>
                  <m:ctrlPr>
                    <w:rPr>
                      <w:rFonts w:hint="default" w:ascii="Cambria Math" w:hAnsi="Cambria Math"/>
                      <w:i/>
                      <w:color w:val="auto"/>
                      <w:sz w:val="24"/>
                    </w:rPr>
                  </m:ctrlPr>
                </m:sub>
              </m:sSub>
            </m:oMath>
            <w:r>
              <w:rPr>
                <w:color w:val="auto"/>
                <w:sz w:val="24"/>
              </w:rPr>
              <w:t>－在</w:t>
            </w:r>
            <w:r>
              <w:rPr>
                <w:i/>
                <w:iCs/>
                <w:color w:val="auto"/>
                <w:sz w:val="24"/>
              </w:rPr>
              <w:t>T</w:t>
            </w:r>
            <w:r>
              <w:rPr>
                <w:color w:val="auto"/>
                <w:sz w:val="24"/>
              </w:rPr>
              <w:t>时</w:t>
            </w:r>
            <w:r>
              <w:rPr>
                <w:rFonts w:hint="eastAsia"/>
                <w:color w:val="auto"/>
                <w:sz w:val="24"/>
                <w:lang w:eastAsia="zh-CN"/>
              </w:rPr>
              <w:t>段</w:t>
            </w:r>
            <w:r>
              <w:rPr>
                <w:color w:val="auto"/>
                <w:sz w:val="24"/>
              </w:rPr>
              <w:t>内</w:t>
            </w:r>
            <w:r>
              <w:rPr>
                <w:i/>
                <w:iCs/>
                <w:color w:val="auto"/>
                <w:sz w:val="24"/>
              </w:rPr>
              <w:t>i</w:t>
            </w:r>
            <w:r>
              <w:rPr>
                <w:color w:val="auto"/>
                <w:sz w:val="24"/>
              </w:rPr>
              <w:t>声源</w:t>
            </w:r>
            <w:r>
              <w:rPr>
                <w:rFonts w:hint="eastAsia"/>
                <w:color w:val="auto"/>
                <w:sz w:val="24"/>
                <w:lang w:eastAsia="zh-CN"/>
              </w:rPr>
              <w:t>的工作</w:t>
            </w:r>
            <w:r>
              <w:rPr>
                <w:color w:val="auto"/>
                <w:sz w:val="24"/>
              </w:rPr>
              <w:t>时间，s；</w:t>
            </w:r>
          </w:p>
          <w:p w14:paraId="7E8EC9E2">
            <w:pPr>
              <w:spacing w:line="360" w:lineRule="auto"/>
              <w:ind w:firstLine="1200" w:firstLineChars="500"/>
              <w:rPr>
                <w:rFonts w:hint="eastAsia" w:eastAsia="宋体"/>
                <w:color w:val="auto"/>
                <w:sz w:val="24"/>
                <w:lang w:eastAsia="zh-CN"/>
              </w:rPr>
            </w:pPr>
            <m:oMath>
              <m:sSub>
                <m:sSubPr>
                  <m:ctrlPr>
                    <w:rPr>
                      <w:rFonts w:hint="default" w:ascii="Cambria Math" w:hAnsi="Cambria Math"/>
                      <w:i/>
                      <w:color w:val="auto"/>
                      <w:sz w:val="24"/>
                      <w:szCs w:val="24"/>
                    </w:rPr>
                  </m:ctrlPr>
                </m:sSubPr>
                <m:e>
                  <m:r>
                    <m:rPr/>
                    <w:rPr>
                      <w:rFonts w:hint="default" w:ascii="Cambria Math" w:hAnsi="Cambria Math"/>
                      <w:color w:val="auto"/>
                      <w:sz w:val="24"/>
                      <w:szCs w:val="24"/>
                    </w:rPr>
                    <m:t>L</m:t>
                  </m:r>
                  <m:ctrlPr>
                    <w:rPr>
                      <w:rFonts w:hint="default" w:ascii="Cambria Math" w:hAnsi="Cambria Math"/>
                      <w:i/>
                      <w:color w:val="auto"/>
                      <w:sz w:val="24"/>
                      <w:szCs w:val="24"/>
                    </w:rPr>
                  </m:ctrlPr>
                </m:e>
                <m:sub>
                  <m:r>
                    <m:rPr/>
                    <w:rPr>
                      <w:rFonts w:hint="default" w:ascii="Cambria Math" w:hAnsi="Cambria Math"/>
                      <w:color w:val="auto"/>
                      <w:sz w:val="24"/>
                      <w:szCs w:val="24"/>
                    </w:rPr>
                    <m:t>Ai</m:t>
                  </m:r>
                  <m:ctrlPr>
                    <w:rPr>
                      <w:rFonts w:hint="default" w:ascii="Cambria Math" w:hAnsi="Cambria Math"/>
                      <w:i/>
                      <w:color w:val="auto"/>
                      <w:sz w:val="24"/>
                      <w:szCs w:val="24"/>
                    </w:rPr>
                  </m:ctrlPr>
                </m:sub>
              </m:sSub>
            </m:oMath>
            <w:r>
              <w:rPr>
                <w:color w:val="auto"/>
                <w:sz w:val="24"/>
              </w:rPr>
              <w:t>－</w:t>
            </w:r>
            <w:r>
              <w:rPr>
                <w:rFonts w:hint="eastAsia"/>
                <w:color w:val="auto"/>
                <w:sz w:val="24"/>
                <w:lang w:eastAsia="zh-CN"/>
              </w:rPr>
              <w:t>第</w:t>
            </w:r>
            <w:r>
              <w:rPr>
                <w:rFonts w:hint="eastAsia"/>
                <w:i/>
                <w:iCs/>
                <w:color w:val="auto"/>
                <w:sz w:val="24"/>
                <w:lang w:val="en-US" w:eastAsia="zh-CN"/>
              </w:rPr>
              <w:t>i</w:t>
            </w:r>
            <w:r>
              <w:rPr>
                <w:rFonts w:hint="eastAsia"/>
                <w:i w:val="0"/>
                <w:iCs w:val="0"/>
                <w:color w:val="auto"/>
                <w:sz w:val="24"/>
                <w:lang w:val="en-US" w:eastAsia="zh-CN"/>
              </w:rPr>
              <w:t>个室外</w:t>
            </w:r>
            <w:r>
              <w:rPr>
                <w:color w:val="auto"/>
                <w:sz w:val="24"/>
              </w:rPr>
              <w:t>声源</w:t>
            </w:r>
            <w:r>
              <w:rPr>
                <w:rFonts w:hint="eastAsia"/>
                <w:color w:val="auto"/>
                <w:sz w:val="24"/>
                <w:lang w:eastAsia="zh-CN"/>
              </w:rPr>
              <w:t>在预测点产生的</w:t>
            </w:r>
            <w:r>
              <w:rPr>
                <w:rFonts w:hint="eastAsia"/>
                <w:color w:val="auto"/>
                <w:sz w:val="24"/>
                <w:lang w:val="en-US" w:eastAsia="zh-CN"/>
              </w:rPr>
              <w:t>A声级，</w:t>
            </w:r>
            <w:r>
              <w:rPr>
                <w:color w:val="auto"/>
                <w:sz w:val="24"/>
                <w:szCs w:val="24"/>
              </w:rPr>
              <w:t>dB</w:t>
            </w:r>
            <w:r>
              <w:rPr>
                <w:rFonts w:hint="eastAsia"/>
                <w:color w:val="auto"/>
                <w:sz w:val="24"/>
                <w:lang w:eastAsia="zh-CN"/>
              </w:rPr>
              <w:t>；</w:t>
            </w:r>
          </w:p>
          <w:p w14:paraId="5DE6ECF8">
            <w:pPr>
              <w:spacing w:line="360" w:lineRule="auto"/>
              <w:ind w:firstLine="1200" w:firstLineChars="500"/>
              <w:rPr>
                <w:color w:val="auto"/>
                <w:sz w:val="24"/>
              </w:rPr>
            </w:pPr>
            <w:r>
              <w:rPr>
                <w:rFonts w:hint="eastAsia"/>
                <w:i/>
                <w:iCs/>
                <w:color w:val="auto"/>
                <w:sz w:val="24"/>
                <w:lang w:val="en-US" w:eastAsia="zh-CN"/>
              </w:rPr>
              <w:t>M</w:t>
            </w:r>
            <w:r>
              <w:rPr>
                <w:rFonts w:hint="eastAsia"/>
                <w:color w:val="auto"/>
                <w:sz w:val="24"/>
              </w:rPr>
              <w:t>—</w:t>
            </w:r>
            <w:r>
              <w:rPr>
                <w:rFonts w:hint="eastAsia"/>
                <w:color w:val="auto"/>
                <w:sz w:val="24"/>
                <w:lang w:eastAsia="zh-CN"/>
              </w:rPr>
              <w:t>等效</w:t>
            </w:r>
            <w:r>
              <w:rPr>
                <w:rFonts w:hint="eastAsia"/>
                <w:color w:val="auto"/>
                <w:sz w:val="24"/>
              </w:rPr>
              <w:t>室外声源个数；</w:t>
            </w:r>
          </w:p>
          <w:p w14:paraId="08CAA5CE">
            <w:pPr>
              <w:spacing w:line="360" w:lineRule="auto"/>
              <w:ind w:firstLine="1200" w:firstLineChars="500"/>
              <w:rPr>
                <w:color w:val="auto"/>
                <w:sz w:val="24"/>
              </w:rPr>
            </w:pPr>
            <m:oMath>
              <m:sSub>
                <m:sSubPr>
                  <m:ctrlPr>
                    <w:rPr>
                      <w:rFonts w:hint="default" w:ascii="Cambria Math" w:hAnsi="Cambria Math"/>
                      <w:i/>
                      <w:color w:val="auto"/>
                      <w:sz w:val="24"/>
                    </w:rPr>
                  </m:ctrlPr>
                </m:sSubPr>
                <m:e>
                  <m:r>
                    <m:rPr/>
                    <w:rPr>
                      <w:rFonts w:hint="default" w:ascii="Cambria Math" w:hAnsi="Cambria Math"/>
                      <w:color w:val="auto"/>
                      <w:sz w:val="24"/>
                    </w:rPr>
                    <m:t>t</m:t>
                  </m:r>
                  <m:ctrlPr>
                    <w:rPr>
                      <w:rFonts w:hint="default" w:ascii="Cambria Math" w:hAnsi="Cambria Math"/>
                      <w:i/>
                      <w:color w:val="auto"/>
                      <w:sz w:val="24"/>
                    </w:rPr>
                  </m:ctrlPr>
                </m:e>
                <m:sub>
                  <m:r>
                    <m:rPr/>
                    <w:rPr>
                      <w:rFonts w:hint="default" w:ascii="Cambria Math" w:hAnsi="Cambria Math"/>
                      <w:color w:val="auto"/>
                      <w:sz w:val="24"/>
                      <w:lang w:val="en-US" w:eastAsia="zh-CN"/>
                    </w:rPr>
                    <m:t>j</m:t>
                  </m:r>
                  <m:ctrlPr>
                    <w:rPr>
                      <w:rFonts w:hint="default" w:ascii="Cambria Math" w:hAnsi="Cambria Math"/>
                      <w:i/>
                      <w:color w:val="auto"/>
                      <w:sz w:val="24"/>
                    </w:rPr>
                  </m:ctrlPr>
                </m:sub>
              </m:sSub>
            </m:oMath>
            <w:r>
              <w:rPr>
                <w:color w:val="auto"/>
                <w:sz w:val="24"/>
              </w:rPr>
              <w:t>－在</w:t>
            </w:r>
            <w:r>
              <w:rPr>
                <w:i/>
                <w:iCs/>
                <w:color w:val="auto"/>
                <w:sz w:val="24"/>
              </w:rPr>
              <w:t>T</w:t>
            </w:r>
            <w:r>
              <w:rPr>
                <w:color w:val="auto"/>
                <w:sz w:val="24"/>
              </w:rPr>
              <w:t>时</w:t>
            </w:r>
            <w:r>
              <w:rPr>
                <w:rFonts w:hint="eastAsia"/>
                <w:color w:val="auto"/>
                <w:sz w:val="24"/>
                <w:lang w:eastAsia="zh-CN"/>
              </w:rPr>
              <w:t>段</w:t>
            </w:r>
            <w:r>
              <w:rPr>
                <w:color w:val="auto"/>
                <w:sz w:val="24"/>
              </w:rPr>
              <w:t>内</w:t>
            </w:r>
            <w:r>
              <w:rPr>
                <w:rFonts w:hint="eastAsia"/>
                <w:i/>
                <w:iCs/>
                <w:color w:val="auto"/>
                <w:sz w:val="24"/>
                <w:lang w:val="en-US" w:eastAsia="zh-CN"/>
              </w:rPr>
              <w:t>j</w:t>
            </w:r>
            <w:r>
              <w:rPr>
                <w:color w:val="auto"/>
                <w:sz w:val="24"/>
              </w:rPr>
              <w:t>声源</w:t>
            </w:r>
            <w:r>
              <w:rPr>
                <w:rFonts w:hint="eastAsia"/>
                <w:color w:val="auto"/>
                <w:sz w:val="24"/>
                <w:lang w:eastAsia="zh-CN"/>
              </w:rPr>
              <w:t>的工作</w:t>
            </w:r>
            <w:r>
              <w:rPr>
                <w:color w:val="auto"/>
                <w:sz w:val="24"/>
              </w:rPr>
              <w:t>时间，s；</w:t>
            </w:r>
          </w:p>
          <w:p w14:paraId="703A24CA">
            <w:pPr>
              <w:spacing w:line="360" w:lineRule="auto"/>
              <w:ind w:firstLine="1200" w:firstLineChars="500"/>
              <w:rPr>
                <w:color w:val="auto"/>
                <w:sz w:val="24"/>
              </w:rPr>
            </w:pPr>
            <m:oMath>
              <m:sSub>
                <m:sSubPr>
                  <m:ctrlPr>
                    <w:rPr>
                      <w:rFonts w:hint="default" w:ascii="Cambria Math" w:hAnsi="Cambria Math"/>
                      <w:i/>
                      <w:color w:val="auto"/>
                      <w:sz w:val="24"/>
                      <w:szCs w:val="24"/>
                    </w:rPr>
                  </m:ctrlPr>
                </m:sSubPr>
                <m:e>
                  <m:r>
                    <m:rPr/>
                    <w:rPr>
                      <w:rFonts w:hint="default" w:ascii="Cambria Math" w:hAnsi="Cambria Math"/>
                      <w:color w:val="auto"/>
                      <w:sz w:val="24"/>
                      <w:szCs w:val="24"/>
                    </w:rPr>
                    <m:t>L</m:t>
                  </m:r>
                  <m:ctrlPr>
                    <w:rPr>
                      <w:rFonts w:hint="default" w:ascii="Cambria Math" w:hAnsi="Cambria Math"/>
                      <w:i/>
                      <w:color w:val="auto"/>
                      <w:sz w:val="24"/>
                      <w:szCs w:val="24"/>
                    </w:rPr>
                  </m:ctrlPr>
                </m:e>
                <m:sub>
                  <m:r>
                    <m:rPr/>
                    <w:rPr>
                      <w:rFonts w:hint="default" w:ascii="Cambria Math" w:hAnsi="Cambria Math"/>
                      <w:color w:val="auto"/>
                      <w:sz w:val="24"/>
                      <w:szCs w:val="24"/>
                    </w:rPr>
                    <m:t>A</m:t>
                  </m:r>
                  <m:r>
                    <m:rPr/>
                    <w:rPr>
                      <w:rFonts w:hint="default" w:ascii="Cambria Math" w:hAnsi="Cambria Math"/>
                      <w:color w:val="auto"/>
                      <w:sz w:val="24"/>
                      <w:szCs w:val="24"/>
                      <w:lang w:val="en-US" w:eastAsia="zh-CN"/>
                    </w:rPr>
                    <m:t>j</m:t>
                  </m:r>
                  <m:ctrlPr>
                    <w:rPr>
                      <w:rFonts w:hint="default" w:ascii="Cambria Math" w:hAnsi="Cambria Math"/>
                      <w:i/>
                      <w:color w:val="auto"/>
                      <w:sz w:val="24"/>
                      <w:szCs w:val="24"/>
                    </w:rPr>
                  </m:ctrlPr>
                </m:sub>
              </m:sSub>
            </m:oMath>
            <w:r>
              <w:rPr>
                <w:color w:val="auto"/>
                <w:sz w:val="24"/>
              </w:rPr>
              <w:t>－</w:t>
            </w:r>
            <w:r>
              <w:rPr>
                <w:rFonts w:hint="eastAsia"/>
                <w:color w:val="auto"/>
                <w:sz w:val="24"/>
                <w:lang w:eastAsia="zh-CN"/>
              </w:rPr>
              <w:t>第</w:t>
            </w:r>
            <w:r>
              <w:rPr>
                <w:rFonts w:hint="eastAsia"/>
                <w:i/>
                <w:iCs/>
                <w:color w:val="auto"/>
                <w:sz w:val="24"/>
                <w:lang w:val="en-US" w:eastAsia="zh-CN"/>
              </w:rPr>
              <w:t>i</w:t>
            </w:r>
            <w:r>
              <w:rPr>
                <w:rFonts w:hint="eastAsia"/>
                <w:i w:val="0"/>
                <w:iCs w:val="0"/>
                <w:color w:val="auto"/>
                <w:sz w:val="24"/>
                <w:lang w:val="en-US" w:eastAsia="zh-CN"/>
              </w:rPr>
              <w:t>个室外</w:t>
            </w:r>
            <w:r>
              <w:rPr>
                <w:color w:val="auto"/>
                <w:sz w:val="24"/>
              </w:rPr>
              <w:t>声源</w:t>
            </w:r>
            <w:r>
              <w:rPr>
                <w:rFonts w:hint="eastAsia"/>
                <w:color w:val="auto"/>
                <w:sz w:val="24"/>
                <w:lang w:eastAsia="zh-CN"/>
              </w:rPr>
              <w:t>在预测点产生的</w:t>
            </w:r>
            <w:r>
              <w:rPr>
                <w:rFonts w:hint="eastAsia"/>
                <w:color w:val="auto"/>
                <w:sz w:val="24"/>
                <w:lang w:val="en-US" w:eastAsia="zh-CN"/>
              </w:rPr>
              <w:t>A声级，</w:t>
            </w:r>
            <w:r>
              <w:rPr>
                <w:color w:val="auto"/>
                <w:sz w:val="24"/>
                <w:szCs w:val="24"/>
              </w:rPr>
              <w:t>dB</w:t>
            </w:r>
            <w:r>
              <w:rPr>
                <w:color w:val="auto"/>
                <w:sz w:val="24"/>
              </w:rPr>
              <w:t>。</w:t>
            </w:r>
          </w:p>
          <w:p w14:paraId="7ABE8DB9">
            <w:pPr>
              <w:spacing w:line="360" w:lineRule="auto"/>
              <w:ind w:firstLine="480" w:firstLineChars="200"/>
              <w:rPr>
                <w:rFonts w:hint="eastAsia" w:eastAsia="宋体"/>
                <w:b/>
                <w:bCs/>
                <w:color w:val="auto"/>
                <w:sz w:val="24"/>
                <w:szCs w:val="24"/>
                <w:lang w:eastAsia="zh-CN"/>
              </w:rPr>
            </w:pPr>
            <w:r>
              <w:rPr>
                <w:rFonts w:hint="eastAsia"/>
                <w:bCs/>
                <w:color w:val="auto"/>
                <w:sz w:val="24"/>
              </w:rPr>
              <w:t>项目</w:t>
            </w:r>
            <w:r>
              <w:rPr>
                <w:rFonts w:hint="eastAsia"/>
                <w:bCs/>
                <w:color w:val="auto"/>
                <w:sz w:val="24"/>
                <w:lang w:eastAsia="zh-CN"/>
              </w:rPr>
              <w:t>昼夜间均</w:t>
            </w:r>
            <w:r>
              <w:rPr>
                <w:rFonts w:hint="eastAsia"/>
                <w:bCs/>
                <w:color w:val="auto"/>
                <w:sz w:val="24"/>
              </w:rPr>
              <w:t>运行，根据室内、室外声压级预测模式，计算出等效室外声源及预测噪声见表</w:t>
            </w:r>
            <w:r>
              <w:rPr>
                <w:rFonts w:hint="eastAsia"/>
                <w:color w:val="auto"/>
                <w:sz w:val="24"/>
                <w:szCs w:val="24"/>
                <w:lang w:eastAsia="zh-CN"/>
              </w:rPr>
              <w:t>则本项目噪声</w:t>
            </w:r>
            <w:r>
              <w:rPr>
                <w:color w:val="auto"/>
                <w:sz w:val="24"/>
                <w:szCs w:val="24"/>
              </w:rPr>
              <w:t>预测结果见下表</w:t>
            </w:r>
            <w:r>
              <w:rPr>
                <w:rFonts w:hint="eastAsia"/>
                <w:color w:val="auto"/>
                <w:sz w:val="24"/>
                <w:szCs w:val="24"/>
                <w:lang w:eastAsia="zh-CN"/>
              </w:rPr>
              <w:t>：</w:t>
            </w:r>
          </w:p>
          <w:p w14:paraId="7DFD56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bCs/>
                <w:color w:val="auto"/>
                <w:sz w:val="21"/>
                <w:szCs w:val="21"/>
                <w:lang w:val="en-US" w:eastAsia="zh-CN"/>
              </w:rPr>
            </w:pPr>
            <w:r>
              <w:rPr>
                <w:b/>
                <w:bCs/>
                <w:color w:val="auto"/>
                <w:sz w:val="21"/>
                <w:szCs w:val="21"/>
              </w:rPr>
              <w:t>表</w:t>
            </w:r>
            <w:r>
              <w:rPr>
                <w:rFonts w:hint="eastAsia"/>
                <w:b/>
                <w:bCs/>
                <w:color w:val="auto"/>
                <w:sz w:val="21"/>
                <w:szCs w:val="21"/>
              </w:rPr>
              <w:t>4-</w:t>
            </w:r>
            <w:r>
              <w:rPr>
                <w:rFonts w:hint="eastAsia"/>
                <w:b/>
                <w:bCs/>
                <w:color w:val="auto"/>
                <w:sz w:val="21"/>
                <w:szCs w:val="21"/>
                <w:lang w:val="en-US" w:eastAsia="zh-CN"/>
              </w:rPr>
              <w:t>8 本</w:t>
            </w:r>
            <w:r>
              <w:rPr>
                <w:b/>
                <w:bCs/>
                <w:color w:val="auto"/>
                <w:sz w:val="21"/>
                <w:szCs w:val="21"/>
              </w:rPr>
              <w:t>项目</w:t>
            </w:r>
            <w:r>
              <w:rPr>
                <w:rFonts w:hint="eastAsia"/>
                <w:b/>
                <w:bCs/>
                <w:color w:val="auto"/>
                <w:sz w:val="21"/>
                <w:szCs w:val="21"/>
                <w:lang w:eastAsia="zh-CN"/>
              </w:rPr>
              <w:t>厂界</w:t>
            </w:r>
            <w:r>
              <w:rPr>
                <w:b/>
                <w:bCs/>
                <w:color w:val="auto"/>
                <w:sz w:val="21"/>
                <w:szCs w:val="21"/>
              </w:rPr>
              <w:t>噪声</w:t>
            </w:r>
            <w:r>
              <w:rPr>
                <w:rFonts w:hint="eastAsia"/>
                <w:b/>
                <w:bCs/>
                <w:color w:val="auto"/>
                <w:sz w:val="21"/>
                <w:szCs w:val="21"/>
              </w:rPr>
              <w:t>预测结果与达标分析表</w:t>
            </w:r>
            <w:r>
              <w:rPr>
                <w:rFonts w:hint="eastAsia"/>
                <w:b/>
                <w:bCs/>
                <w:color w:val="auto"/>
                <w:sz w:val="21"/>
                <w:szCs w:val="21"/>
                <w:lang w:val="en-US" w:eastAsia="zh-CN"/>
              </w:rPr>
              <w:t xml:space="preserve">   单位</w:t>
            </w:r>
            <w:r>
              <w:rPr>
                <w:b/>
                <w:bCs/>
                <w:color w:val="auto"/>
                <w:sz w:val="21"/>
                <w:szCs w:val="21"/>
              </w:rPr>
              <w:t>dB（A）</w:t>
            </w:r>
          </w:p>
          <w:tbl>
            <w:tblPr>
              <w:tblStyle w:val="26"/>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747"/>
              <w:gridCol w:w="749"/>
              <w:gridCol w:w="747"/>
              <w:gridCol w:w="749"/>
              <w:gridCol w:w="814"/>
              <w:gridCol w:w="816"/>
              <w:gridCol w:w="747"/>
              <w:gridCol w:w="882"/>
              <w:gridCol w:w="716"/>
              <w:gridCol w:w="650"/>
            </w:tblGrid>
            <w:tr w14:paraId="50F5F0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86" w:type="pct"/>
                  <w:vMerge w:val="restart"/>
                  <w:tcBorders>
                    <w:tl2br w:val="nil"/>
                    <w:tr2bl w:val="nil"/>
                  </w:tcBorders>
                  <w:vAlign w:val="center"/>
                </w:tcPr>
                <w:p w14:paraId="1BB6BA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点位</w:t>
                  </w:r>
                </w:p>
              </w:tc>
              <w:tc>
                <w:tcPr>
                  <w:tcW w:w="827" w:type="pct"/>
                  <w:gridSpan w:val="2"/>
                  <w:tcBorders>
                    <w:tl2br w:val="nil"/>
                    <w:tr2bl w:val="nil"/>
                  </w:tcBorders>
                  <w:vAlign w:val="center"/>
                </w:tcPr>
                <w:p w14:paraId="432B82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lang w:eastAsia="zh-CN"/>
                    </w:rPr>
                  </w:pPr>
                  <w:r>
                    <w:rPr>
                      <w:rFonts w:hint="eastAsia" w:cs="Times New Roman"/>
                      <w:b/>
                      <w:bCs/>
                      <w:color w:val="auto"/>
                      <w:sz w:val="21"/>
                      <w:szCs w:val="21"/>
                      <w:lang w:eastAsia="zh-CN"/>
                    </w:rPr>
                    <w:t>背景值</w:t>
                  </w:r>
                </w:p>
              </w:tc>
              <w:tc>
                <w:tcPr>
                  <w:tcW w:w="827" w:type="pct"/>
                  <w:gridSpan w:val="2"/>
                  <w:tcBorders>
                    <w:tl2br w:val="nil"/>
                    <w:tr2bl w:val="nil"/>
                  </w:tcBorders>
                  <w:vAlign w:val="center"/>
                </w:tcPr>
                <w:p w14:paraId="376DD0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rPr>
                    <w:t>贡献值</w:t>
                  </w:r>
                </w:p>
              </w:tc>
              <w:tc>
                <w:tcPr>
                  <w:tcW w:w="901" w:type="pct"/>
                  <w:gridSpan w:val="2"/>
                  <w:tcBorders>
                    <w:tl2br w:val="nil"/>
                    <w:tr2bl w:val="nil"/>
                  </w:tcBorders>
                  <w:vAlign w:val="center"/>
                </w:tcPr>
                <w:p w14:paraId="11B9C3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lang w:eastAsia="zh-CN"/>
                    </w:rPr>
                  </w:pPr>
                  <w:r>
                    <w:rPr>
                      <w:rFonts w:hint="eastAsia" w:cs="Times New Roman"/>
                      <w:b/>
                      <w:bCs/>
                      <w:color w:val="auto"/>
                      <w:sz w:val="21"/>
                      <w:szCs w:val="21"/>
                      <w:lang w:eastAsia="zh-CN"/>
                    </w:rPr>
                    <w:t>预测值</w:t>
                  </w:r>
                </w:p>
              </w:tc>
              <w:tc>
                <w:tcPr>
                  <w:tcW w:w="901" w:type="pct"/>
                  <w:gridSpan w:val="2"/>
                  <w:tcBorders>
                    <w:tl2br w:val="nil"/>
                    <w:tr2bl w:val="nil"/>
                  </w:tcBorders>
                  <w:vAlign w:val="center"/>
                </w:tcPr>
                <w:p w14:paraId="724FF7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auto"/>
                      <w:sz w:val="21"/>
                      <w:szCs w:val="21"/>
                    </w:rPr>
                  </w:pPr>
                  <w:r>
                    <w:rPr>
                      <w:rFonts w:hint="eastAsia"/>
                      <w:b/>
                      <w:bCs/>
                      <w:color w:val="auto"/>
                      <w:sz w:val="21"/>
                      <w:szCs w:val="21"/>
                    </w:rPr>
                    <w:t>标准</w:t>
                  </w:r>
                  <w:r>
                    <w:rPr>
                      <w:rFonts w:hint="eastAsia"/>
                      <w:b/>
                      <w:bCs/>
                      <w:color w:val="auto"/>
                      <w:sz w:val="21"/>
                      <w:szCs w:val="21"/>
                      <w:lang w:eastAsia="zh-CN"/>
                    </w:rPr>
                    <w:t>限</w:t>
                  </w:r>
                  <w:r>
                    <w:rPr>
                      <w:rFonts w:hint="eastAsia"/>
                      <w:b/>
                      <w:bCs/>
                      <w:color w:val="auto"/>
                      <w:sz w:val="21"/>
                      <w:szCs w:val="21"/>
                    </w:rPr>
                    <w:t>值</w:t>
                  </w:r>
                </w:p>
              </w:tc>
              <w:tc>
                <w:tcPr>
                  <w:tcW w:w="754" w:type="pct"/>
                  <w:gridSpan w:val="2"/>
                  <w:tcBorders>
                    <w:tl2br w:val="nil"/>
                    <w:tr2bl w:val="nil"/>
                  </w:tcBorders>
                  <w:vAlign w:val="center"/>
                </w:tcPr>
                <w:p w14:paraId="5D6FDF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达标情况</w:t>
                  </w:r>
                </w:p>
              </w:tc>
            </w:tr>
            <w:tr w14:paraId="3EF7D4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86" w:type="pct"/>
                  <w:vMerge w:val="continue"/>
                  <w:tcBorders>
                    <w:tl2br w:val="nil"/>
                    <w:tr2bl w:val="nil"/>
                  </w:tcBorders>
                  <w:vAlign w:val="center"/>
                </w:tcPr>
                <w:p w14:paraId="2DDD2E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413" w:type="pct"/>
                  <w:tcBorders>
                    <w:tl2br w:val="nil"/>
                    <w:tr2bl w:val="nil"/>
                  </w:tcBorders>
                  <w:vAlign w:val="center"/>
                </w:tcPr>
                <w:p w14:paraId="246552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昼间</w:t>
                  </w:r>
                </w:p>
              </w:tc>
              <w:tc>
                <w:tcPr>
                  <w:tcW w:w="414" w:type="pct"/>
                  <w:tcBorders>
                    <w:tl2br w:val="nil"/>
                    <w:tr2bl w:val="nil"/>
                  </w:tcBorders>
                  <w:vAlign w:val="center"/>
                </w:tcPr>
                <w:p w14:paraId="1E2D58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eastAsia" w:cs="Times New Roman"/>
                      <w:b/>
                      <w:bCs/>
                      <w:color w:val="auto"/>
                      <w:sz w:val="21"/>
                      <w:szCs w:val="21"/>
                      <w:lang w:eastAsia="zh-CN"/>
                    </w:rPr>
                    <w:t>夜间</w:t>
                  </w:r>
                </w:p>
              </w:tc>
              <w:tc>
                <w:tcPr>
                  <w:tcW w:w="413" w:type="pct"/>
                  <w:tcBorders>
                    <w:tl2br w:val="nil"/>
                    <w:tr2bl w:val="nil"/>
                  </w:tcBorders>
                  <w:vAlign w:val="center"/>
                </w:tcPr>
                <w:p w14:paraId="6147CC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昼间</w:t>
                  </w:r>
                </w:p>
              </w:tc>
              <w:tc>
                <w:tcPr>
                  <w:tcW w:w="414" w:type="pct"/>
                  <w:tcBorders>
                    <w:tl2br w:val="nil"/>
                    <w:tr2bl w:val="nil"/>
                  </w:tcBorders>
                  <w:vAlign w:val="center"/>
                </w:tcPr>
                <w:p w14:paraId="7F7861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eastAsia" w:cs="Times New Roman"/>
                      <w:b/>
                      <w:bCs/>
                      <w:color w:val="auto"/>
                      <w:sz w:val="21"/>
                      <w:szCs w:val="21"/>
                      <w:lang w:eastAsia="zh-CN"/>
                    </w:rPr>
                    <w:t>夜间</w:t>
                  </w:r>
                </w:p>
              </w:tc>
              <w:tc>
                <w:tcPr>
                  <w:tcW w:w="450" w:type="pct"/>
                  <w:tcBorders>
                    <w:tl2br w:val="nil"/>
                    <w:tr2bl w:val="nil"/>
                  </w:tcBorders>
                  <w:vAlign w:val="center"/>
                </w:tcPr>
                <w:p w14:paraId="0B7177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bCs/>
                      <w:color w:val="auto"/>
                      <w:sz w:val="21"/>
                      <w:szCs w:val="21"/>
                      <w:lang w:eastAsia="zh-CN"/>
                    </w:rPr>
                  </w:pPr>
                  <w:r>
                    <w:rPr>
                      <w:rFonts w:hint="default" w:ascii="Times New Roman" w:hAnsi="Times New Roman" w:eastAsia="宋体" w:cs="Times New Roman"/>
                      <w:b/>
                      <w:bCs/>
                      <w:color w:val="auto"/>
                      <w:sz w:val="21"/>
                      <w:szCs w:val="21"/>
                    </w:rPr>
                    <w:t>昼间</w:t>
                  </w:r>
                </w:p>
              </w:tc>
              <w:tc>
                <w:tcPr>
                  <w:tcW w:w="451" w:type="pct"/>
                  <w:tcBorders>
                    <w:tl2br w:val="nil"/>
                    <w:tr2bl w:val="nil"/>
                  </w:tcBorders>
                  <w:vAlign w:val="center"/>
                </w:tcPr>
                <w:p w14:paraId="567462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bCs/>
                      <w:color w:val="auto"/>
                      <w:sz w:val="21"/>
                      <w:szCs w:val="21"/>
                      <w:lang w:eastAsia="zh-CN"/>
                    </w:rPr>
                  </w:pPr>
                  <w:r>
                    <w:rPr>
                      <w:rFonts w:hint="eastAsia" w:cs="Times New Roman"/>
                      <w:b/>
                      <w:bCs/>
                      <w:color w:val="auto"/>
                      <w:sz w:val="21"/>
                      <w:szCs w:val="21"/>
                      <w:lang w:eastAsia="zh-CN"/>
                    </w:rPr>
                    <w:t>夜间</w:t>
                  </w:r>
                </w:p>
              </w:tc>
              <w:tc>
                <w:tcPr>
                  <w:tcW w:w="413" w:type="pct"/>
                  <w:tcBorders>
                    <w:tl2br w:val="nil"/>
                    <w:tr2bl w:val="nil"/>
                  </w:tcBorders>
                  <w:vAlign w:val="center"/>
                </w:tcPr>
                <w:p w14:paraId="3335BF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昼间</w:t>
                  </w:r>
                </w:p>
              </w:tc>
              <w:tc>
                <w:tcPr>
                  <w:tcW w:w="488" w:type="pct"/>
                  <w:tcBorders>
                    <w:tl2br w:val="nil"/>
                    <w:tr2bl w:val="nil"/>
                  </w:tcBorders>
                  <w:vAlign w:val="center"/>
                </w:tcPr>
                <w:p w14:paraId="27F6E9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eastAsia" w:cs="Times New Roman"/>
                      <w:b/>
                      <w:bCs/>
                      <w:color w:val="auto"/>
                      <w:sz w:val="21"/>
                      <w:szCs w:val="21"/>
                      <w:lang w:eastAsia="zh-CN"/>
                    </w:rPr>
                    <w:t>夜间</w:t>
                  </w:r>
                </w:p>
              </w:tc>
              <w:tc>
                <w:tcPr>
                  <w:tcW w:w="395" w:type="pct"/>
                  <w:tcBorders>
                    <w:tl2br w:val="nil"/>
                    <w:tr2bl w:val="nil"/>
                  </w:tcBorders>
                  <w:vAlign w:val="center"/>
                </w:tcPr>
                <w:p w14:paraId="0C020F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昼间</w:t>
                  </w:r>
                </w:p>
              </w:tc>
              <w:tc>
                <w:tcPr>
                  <w:tcW w:w="359" w:type="pct"/>
                  <w:tcBorders>
                    <w:tl2br w:val="nil"/>
                    <w:tr2bl w:val="nil"/>
                  </w:tcBorders>
                  <w:vAlign w:val="center"/>
                </w:tcPr>
                <w:p w14:paraId="3D92C1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lang w:eastAsia="zh-CN"/>
                    </w:rPr>
                  </w:pPr>
                  <w:r>
                    <w:rPr>
                      <w:rFonts w:hint="eastAsia" w:cs="Times New Roman"/>
                      <w:b/>
                      <w:bCs/>
                      <w:color w:val="auto"/>
                      <w:sz w:val="21"/>
                      <w:szCs w:val="21"/>
                      <w:lang w:eastAsia="zh-CN"/>
                    </w:rPr>
                    <w:t>夜间</w:t>
                  </w:r>
                </w:p>
              </w:tc>
            </w:tr>
            <w:tr w14:paraId="4D77C0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86" w:type="pct"/>
                  <w:tcBorders>
                    <w:tl2br w:val="nil"/>
                    <w:tr2bl w:val="nil"/>
                  </w:tcBorders>
                  <w:vAlign w:val="center"/>
                </w:tcPr>
                <w:p w14:paraId="726FB1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eastAsia="zh-CN"/>
                    </w:rPr>
                  </w:pPr>
                  <w:r>
                    <w:rPr>
                      <w:rFonts w:hint="default" w:ascii="Times New Roman" w:hAnsi="Times New Roman" w:eastAsia="宋体" w:cs="Times New Roman"/>
                      <w:color w:val="auto"/>
                      <w:sz w:val="21"/>
                      <w:szCs w:val="21"/>
                    </w:rPr>
                    <w:t>厂界东侧</w:t>
                  </w:r>
                </w:p>
              </w:tc>
              <w:tc>
                <w:tcPr>
                  <w:tcW w:w="413" w:type="pct"/>
                  <w:tcBorders>
                    <w:tl2br w:val="nil"/>
                    <w:tr2bl w:val="nil"/>
                  </w:tcBorders>
                  <w:vAlign w:val="center"/>
                </w:tcPr>
                <w:p w14:paraId="66D4AE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4" w:type="pct"/>
                  <w:tcBorders>
                    <w:tl2br w:val="nil"/>
                    <w:tr2bl w:val="nil"/>
                  </w:tcBorders>
                  <w:vAlign w:val="center"/>
                </w:tcPr>
                <w:p w14:paraId="1FAE38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3" w:type="pct"/>
                  <w:tcBorders>
                    <w:tl2br w:val="nil"/>
                    <w:tr2bl w:val="nil"/>
                  </w:tcBorders>
                  <w:vAlign w:val="center"/>
                </w:tcPr>
                <w:p w14:paraId="61FFA9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56</w:t>
                  </w:r>
                </w:p>
              </w:tc>
              <w:tc>
                <w:tcPr>
                  <w:tcW w:w="414" w:type="pct"/>
                  <w:tcBorders>
                    <w:tl2br w:val="nil"/>
                    <w:tr2bl w:val="nil"/>
                  </w:tcBorders>
                  <w:vAlign w:val="center"/>
                </w:tcPr>
                <w:p w14:paraId="065E3B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45</w:t>
                  </w:r>
                </w:p>
              </w:tc>
              <w:tc>
                <w:tcPr>
                  <w:tcW w:w="450" w:type="pct"/>
                  <w:tcBorders>
                    <w:tl2br w:val="nil"/>
                    <w:tr2bl w:val="nil"/>
                  </w:tcBorders>
                  <w:vAlign w:val="center"/>
                </w:tcPr>
                <w:p w14:paraId="01B792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51" w:type="pct"/>
                  <w:tcBorders>
                    <w:tl2br w:val="nil"/>
                    <w:tr2bl w:val="nil"/>
                  </w:tcBorders>
                  <w:vAlign w:val="center"/>
                </w:tcPr>
                <w:p w14:paraId="76EC17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3" w:type="pct"/>
                  <w:tcBorders>
                    <w:tl2br w:val="nil"/>
                    <w:tr2bl w:val="nil"/>
                  </w:tcBorders>
                  <w:vAlign w:val="center"/>
                </w:tcPr>
                <w:p w14:paraId="3066BD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60</w:t>
                  </w:r>
                </w:p>
              </w:tc>
              <w:tc>
                <w:tcPr>
                  <w:tcW w:w="488" w:type="pct"/>
                  <w:tcBorders>
                    <w:tl2br w:val="nil"/>
                    <w:tr2bl w:val="nil"/>
                  </w:tcBorders>
                  <w:vAlign w:val="center"/>
                </w:tcPr>
                <w:p w14:paraId="0E577E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w:t>
                  </w:r>
                </w:p>
              </w:tc>
              <w:tc>
                <w:tcPr>
                  <w:tcW w:w="395" w:type="pct"/>
                  <w:tcBorders>
                    <w:tl2br w:val="nil"/>
                    <w:tr2bl w:val="nil"/>
                  </w:tcBorders>
                  <w:vAlign w:val="center"/>
                </w:tcPr>
                <w:p w14:paraId="6BD9F1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359" w:type="pct"/>
                  <w:tcBorders>
                    <w:tl2br w:val="nil"/>
                    <w:tr2bl w:val="nil"/>
                  </w:tcBorders>
                  <w:vAlign w:val="center"/>
                </w:tcPr>
                <w:p w14:paraId="716DD9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达标</w:t>
                  </w:r>
                </w:p>
              </w:tc>
            </w:tr>
            <w:tr w14:paraId="154B23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86" w:type="pct"/>
                  <w:tcBorders>
                    <w:tl2br w:val="nil"/>
                    <w:tr2bl w:val="nil"/>
                  </w:tcBorders>
                  <w:vAlign w:val="center"/>
                </w:tcPr>
                <w:p w14:paraId="45BBEB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厂界南侧</w:t>
                  </w:r>
                </w:p>
              </w:tc>
              <w:tc>
                <w:tcPr>
                  <w:tcW w:w="413" w:type="pct"/>
                  <w:tcBorders>
                    <w:tl2br w:val="nil"/>
                    <w:tr2bl w:val="nil"/>
                  </w:tcBorders>
                  <w:vAlign w:val="center"/>
                </w:tcPr>
                <w:p w14:paraId="72DE4A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4" w:type="pct"/>
                  <w:tcBorders>
                    <w:tl2br w:val="nil"/>
                    <w:tr2bl w:val="nil"/>
                  </w:tcBorders>
                  <w:vAlign w:val="center"/>
                </w:tcPr>
                <w:p w14:paraId="02C2AE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3" w:type="pct"/>
                  <w:tcBorders>
                    <w:tl2br w:val="nil"/>
                    <w:tr2bl w:val="nil"/>
                  </w:tcBorders>
                  <w:vAlign w:val="center"/>
                </w:tcPr>
                <w:p w14:paraId="1C1AE6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55</w:t>
                  </w:r>
                </w:p>
              </w:tc>
              <w:tc>
                <w:tcPr>
                  <w:tcW w:w="414" w:type="pct"/>
                  <w:tcBorders>
                    <w:tl2br w:val="nil"/>
                    <w:tr2bl w:val="nil"/>
                  </w:tcBorders>
                  <w:vAlign w:val="center"/>
                </w:tcPr>
                <w:p w14:paraId="4E6FFE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45</w:t>
                  </w:r>
                </w:p>
              </w:tc>
              <w:tc>
                <w:tcPr>
                  <w:tcW w:w="450" w:type="pct"/>
                  <w:tcBorders>
                    <w:tl2br w:val="nil"/>
                    <w:tr2bl w:val="nil"/>
                  </w:tcBorders>
                  <w:vAlign w:val="center"/>
                </w:tcPr>
                <w:p w14:paraId="42E776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51" w:type="pct"/>
                  <w:tcBorders>
                    <w:tl2br w:val="nil"/>
                    <w:tr2bl w:val="nil"/>
                  </w:tcBorders>
                  <w:vAlign w:val="center"/>
                </w:tcPr>
                <w:p w14:paraId="7AFD34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3" w:type="pct"/>
                  <w:tcBorders>
                    <w:tl2br w:val="nil"/>
                    <w:tr2bl w:val="nil"/>
                  </w:tcBorders>
                  <w:vAlign w:val="center"/>
                </w:tcPr>
                <w:p w14:paraId="064866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60</w:t>
                  </w:r>
                </w:p>
              </w:tc>
              <w:tc>
                <w:tcPr>
                  <w:tcW w:w="488" w:type="pct"/>
                  <w:tcBorders>
                    <w:tl2br w:val="nil"/>
                    <w:tr2bl w:val="nil"/>
                  </w:tcBorders>
                  <w:vAlign w:val="center"/>
                </w:tcPr>
                <w:p w14:paraId="00012D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w:t>
                  </w:r>
                </w:p>
              </w:tc>
              <w:tc>
                <w:tcPr>
                  <w:tcW w:w="395" w:type="pct"/>
                  <w:tcBorders>
                    <w:tl2br w:val="nil"/>
                    <w:tr2bl w:val="nil"/>
                  </w:tcBorders>
                  <w:vAlign w:val="center"/>
                </w:tcPr>
                <w:p w14:paraId="2EC9F6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359" w:type="pct"/>
                  <w:tcBorders>
                    <w:tl2br w:val="nil"/>
                    <w:tr2bl w:val="nil"/>
                  </w:tcBorders>
                  <w:vAlign w:val="center"/>
                </w:tcPr>
                <w:p w14:paraId="1823FB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达标</w:t>
                  </w:r>
                </w:p>
              </w:tc>
            </w:tr>
            <w:tr w14:paraId="4FC11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86" w:type="pct"/>
                  <w:tcBorders>
                    <w:tl2br w:val="nil"/>
                    <w:tr2bl w:val="nil"/>
                  </w:tcBorders>
                  <w:vAlign w:val="center"/>
                </w:tcPr>
                <w:p w14:paraId="2AAE4A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厂界西侧</w:t>
                  </w:r>
                </w:p>
              </w:tc>
              <w:tc>
                <w:tcPr>
                  <w:tcW w:w="413" w:type="pct"/>
                  <w:tcBorders>
                    <w:tl2br w:val="nil"/>
                    <w:tr2bl w:val="nil"/>
                  </w:tcBorders>
                  <w:vAlign w:val="center"/>
                </w:tcPr>
                <w:p w14:paraId="2C5623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4" w:type="pct"/>
                  <w:tcBorders>
                    <w:tl2br w:val="nil"/>
                    <w:tr2bl w:val="nil"/>
                  </w:tcBorders>
                  <w:vAlign w:val="center"/>
                </w:tcPr>
                <w:p w14:paraId="777496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3" w:type="pct"/>
                  <w:tcBorders>
                    <w:tl2br w:val="nil"/>
                    <w:tr2bl w:val="nil"/>
                  </w:tcBorders>
                  <w:vAlign w:val="center"/>
                </w:tcPr>
                <w:p w14:paraId="653FB4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54</w:t>
                  </w:r>
                </w:p>
              </w:tc>
              <w:tc>
                <w:tcPr>
                  <w:tcW w:w="414" w:type="pct"/>
                  <w:tcBorders>
                    <w:tl2br w:val="nil"/>
                    <w:tr2bl w:val="nil"/>
                  </w:tcBorders>
                  <w:vAlign w:val="center"/>
                </w:tcPr>
                <w:p w14:paraId="44E593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45</w:t>
                  </w:r>
                </w:p>
              </w:tc>
              <w:tc>
                <w:tcPr>
                  <w:tcW w:w="450" w:type="pct"/>
                  <w:tcBorders>
                    <w:tl2br w:val="nil"/>
                    <w:tr2bl w:val="nil"/>
                  </w:tcBorders>
                  <w:vAlign w:val="center"/>
                </w:tcPr>
                <w:p w14:paraId="6BC3D2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51" w:type="pct"/>
                  <w:tcBorders>
                    <w:tl2br w:val="nil"/>
                    <w:tr2bl w:val="nil"/>
                  </w:tcBorders>
                  <w:vAlign w:val="center"/>
                </w:tcPr>
                <w:p w14:paraId="3ECB8B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3" w:type="pct"/>
                  <w:tcBorders>
                    <w:tl2br w:val="nil"/>
                    <w:tr2bl w:val="nil"/>
                  </w:tcBorders>
                  <w:vAlign w:val="center"/>
                </w:tcPr>
                <w:p w14:paraId="6319B0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60</w:t>
                  </w:r>
                </w:p>
              </w:tc>
              <w:tc>
                <w:tcPr>
                  <w:tcW w:w="488" w:type="pct"/>
                  <w:tcBorders>
                    <w:tl2br w:val="nil"/>
                    <w:tr2bl w:val="nil"/>
                  </w:tcBorders>
                  <w:vAlign w:val="center"/>
                </w:tcPr>
                <w:p w14:paraId="20F0E4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w:t>
                  </w:r>
                </w:p>
              </w:tc>
              <w:tc>
                <w:tcPr>
                  <w:tcW w:w="395" w:type="pct"/>
                  <w:tcBorders>
                    <w:tl2br w:val="nil"/>
                    <w:tr2bl w:val="nil"/>
                  </w:tcBorders>
                  <w:vAlign w:val="center"/>
                </w:tcPr>
                <w:p w14:paraId="42B19D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359" w:type="pct"/>
                  <w:tcBorders>
                    <w:tl2br w:val="nil"/>
                    <w:tr2bl w:val="nil"/>
                  </w:tcBorders>
                  <w:vAlign w:val="center"/>
                </w:tcPr>
                <w:p w14:paraId="3EDD5C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达标</w:t>
                  </w:r>
                </w:p>
              </w:tc>
            </w:tr>
            <w:tr w14:paraId="2DF6BD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86" w:type="pct"/>
                  <w:tcBorders>
                    <w:tl2br w:val="nil"/>
                    <w:tr2bl w:val="nil"/>
                  </w:tcBorders>
                  <w:vAlign w:val="center"/>
                </w:tcPr>
                <w:p w14:paraId="379D80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厂界北侧</w:t>
                  </w:r>
                </w:p>
              </w:tc>
              <w:tc>
                <w:tcPr>
                  <w:tcW w:w="413" w:type="pct"/>
                  <w:tcBorders>
                    <w:tl2br w:val="nil"/>
                    <w:tr2bl w:val="nil"/>
                  </w:tcBorders>
                  <w:vAlign w:val="center"/>
                </w:tcPr>
                <w:p w14:paraId="76F087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4" w:type="pct"/>
                  <w:tcBorders>
                    <w:tl2br w:val="nil"/>
                    <w:tr2bl w:val="nil"/>
                  </w:tcBorders>
                  <w:vAlign w:val="center"/>
                </w:tcPr>
                <w:p w14:paraId="11AA30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3" w:type="pct"/>
                  <w:tcBorders>
                    <w:tl2br w:val="nil"/>
                    <w:tr2bl w:val="nil"/>
                  </w:tcBorders>
                  <w:vAlign w:val="center"/>
                </w:tcPr>
                <w:p w14:paraId="74649D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54</w:t>
                  </w:r>
                </w:p>
              </w:tc>
              <w:tc>
                <w:tcPr>
                  <w:tcW w:w="414" w:type="pct"/>
                  <w:tcBorders>
                    <w:tl2br w:val="nil"/>
                    <w:tr2bl w:val="nil"/>
                  </w:tcBorders>
                  <w:vAlign w:val="center"/>
                </w:tcPr>
                <w:p w14:paraId="76F996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44</w:t>
                  </w:r>
                </w:p>
              </w:tc>
              <w:tc>
                <w:tcPr>
                  <w:tcW w:w="450" w:type="pct"/>
                  <w:tcBorders>
                    <w:tl2br w:val="nil"/>
                    <w:tr2bl w:val="nil"/>
                  </w:tcBorders>
                  <w:vAlign w:val="center"/>
                </w:tcPr>
                <w:p w14:paraId="5D365A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51" w:type="pct"/>
                  <w:tcBorders>
                    <w:tl2br w:val="nil"/>
                    <w:tr2bl w:val="nil"/>
                  </w:tcBorders>
                  <w:vAlign w:val="center"/>
                </w:tcPr>
                <w:p w14:paraId="1512DD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3" w:type="pct"/>
                  <w:tcBorders>
                    <w:tl2br w:val="nil"/>
                    <w:tr2bl w:val="nil"/>
                  </w:tcBorders>
                  <w:vAlign w:val="center"/>
                </w:tcPr>
                <w:p w14:paraId="5146BF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60</w:t>
                  </w:r>
                </w:p>
              </w:tc>
              <w:tc>
                <w:tcPr>
                  <w:tcW w:w="488" w:type="pct"/>
                  <w:tcBorders>
                    <w:tl2br w:val="nil"/>
                    <w:tr2bl w:val="nil"/>
                  </w:tcBorders>
                  <w:vAlign w:val="center"/>
                </w:tcPr>
                <w:p w14:paraId="343368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w:t>
                  </w:r>
                </w:p>
              </w:tc>
              <w:tc>
                <w:tcPr>
                  <w:tcW w:w="395" w:type="pct"/>
                  <w:tcBorders>
                    <w:tl2br w:val="nil"/>
                    <w:tr2bl w:val="nil"/>
                  </w:tcBorders>
                  <w:vAlign w:val="center"/>
                </w:tcPr>
                <w:p w14:paraId="4F6F24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359" w:type="pct"/>
                  <w:tcBorders>
                    <w:tl2br w:val="nil"/>
                    <w:tr2bl w:val="nil"/>
                  </w:tcBorders>
                  <w:vAlign w:val="center"/>
                </w:tcPr>
                <w:p w14:paraId="3BCB80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达标</w:t>
                  </w:r>
                </w:p>
              </w:tc>
            </w:tr>
            <w:tr w14:paraId="036D1C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86" w:type="pct"/>
                  <w:tcBorders>
                    <w:tl2br w:val="nil"/>
                    <w:tr2bl w:val="nil"/>
                  </w:tcBorders>
                  <w:vAlign w:val="top"/>
                </w:tcPr>
                <w:p w14:paraId="19EDA3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lang w:val="en-US" w:eastAsia="zh-CN"/>
                    </w:rPr>
                  </w:pPr>
                  <w:r>
                    <w:rPr>
                      <w:rFonts w:hint="default"/>
                      <w:color w:val="auto"/>
                      <w:sz w:val="21"/>
                      <w:lang w:val="en-US" w:eastAsia="zh-CN"/>
                    </w:rPr>
                    <w:t>佛坪云溪酒店</w:t>
                  </w:r>
                </w:p>
              </w:tc>
              <w:tc>
                <w:tcPr>
                  <w:tcW w:w="413" w:type="pct"/>
                  <w:tcBorders>
                    <w:tl2br w:val="nil"/>
                    <w:tr2bl w:val="nil"/>
                  </w:tcBorders>
                  <w:vAlign w:val="center"/>
                </w:tcPr>
                <w:p w14:paraId="0A0F33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56</w:t>
                  </w:r>
                </w:p>
              </w:tc>
              <w:tc>
                <w:tcPr>
                  <w:tcW w:w="414" w:type="pct"/>
                  <w:tcBorders>
                    <w:tl2br w:val="nil"/>
                    <w:tr2bl w:val="nil"/>
                  </w:tcBorders>
                  <w:vAlign w:val="center"/>
                </w:tcPr>
                <w:p w14:paraId="50A1B1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46</w:t>
                  </w:r>
                </w:p>
              </w:tc>
              <w:tc>
                <w:tcPr>
                  <w:tcW w:w="413" w:type="pct"/>
                  <w:tcBorders>
                    <w:tl2br w:val="nil"/>
                    <w:tr2bl w:val="nil"/>
                  </w:tcBorders>
                  <w:vAlign w:val="center"/>
                </w:tcPr>
                <w:p w14:paraId="25F775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52</w:t>
                  </w:r>
                </w:p>
              </w:tc>
              <w:tc>
                <w:tcPr>
                  <w:tcW w:w="414" w:type="pct"/>
                  <w:tcBorders>
                    <w:tl2br w:val="nil"/>
                    <w:tr2bl w:val="nil"/>
                  </w:tcBorders>
                  <w:vAlign w:val="center"/>
                </w:tcPr>
                <w:p w14:paraId="773079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43</w:t>
                  </w:r>
                </w:p>
              </w:tc>
              <w:tc>
                <w:tcPr>
                  <w:tcW w:w="450" w:type="pct"/>
                  <w:tcBorders>
                    <w:tl2br w:val="nil"/>
                    <w:tr2bl w:val="nil"/>
                  </w:tcBorders>
                  <w:vAlign w:val="center"/>
                </w:tcPr>
                <w:p w14:paraId="5522CB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57</w:t>
                  </w:r>
                </w:p>
              </w:tc>
              <w:tc>
                <w:tcPr>
                  <w:tcW w:w="451" w:type="pct"/>
                  <w:tcBorders>
                    <w:tl2br w:val="nil"/>
                    <w:tr2bl w:val="nil"/>
                  </w:tcBorders>
                  <w:vAlign w:val="center"/>
                </w:tcPr>
                <w:p w14:paraId="186B8B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48</w:t>
                  </w:r>
                </w:p>
              </w:tc>
              <w:tc>
                <w:tcPr>
                  <w:tcW w:w="413" w:type="pct"/>
                  <w:tcBorders>
                    <w:tl2br w:val="nil"/>
                    <w:tr2bl w:val="nil"/>
                  </w:tcBorders>
                  <w:vAlign w:val="center"/>
                </w:tcPr>
                <w:p w14:paraId="5EE2EE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60</w:t>
                  </w:r>
                </w:p>
              </w:tc>
              <w:tc>
                <w:tcPr>
                  <w:tcW w:w="488" w:type="pct"/>
                  <w:tcBorders>
                    <w:tl2br w:val="nil"/>
                    <w:tr2bl w:val="nil"/>
                  </w:tcBorders>
                  <w:vAlign w:val="center"/>
                </w:tcPr>
                <w:p w14:paraId="412EDC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50</w:t>
                  </w:r>
                </w:p>
              </w:tc>
              <w:tc>
                <w:tcPr>
                  <w:tcW w:w="395" w:type="pct"/>
                  <w:tcBorders>
                    <w:tl2br w:val="nil"/>
                    <w:tr2bl w:val="nil"/>
                  </w:tcBorders>
                  <w:vAlign w:val="center"/>
                </w:tcPr>
                <w:p w14:paraId="7F66D4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359" w:type="pct"/>
                  <w:tcBorders>
                    <w:tl2br w:val="nil"/>
                    <w:tr2bl w:val="nil"/>
                  </w:tcBorders>
                  <w:vAlign w:val="center"/>
                </w:tcPr>
                <w:p w14:paraId="29222A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2E700F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86" w:type="pct"/>
                  <w:tcBorders>
                    <w:tl2br w:val="nil"/>
                    <w:tr2bl w:val="nil"/>
                  </w:tcBorders>
                  <w:vAlign w:val="center"/>
                </w:tcPr>
                <w:p w14:paraId="006617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FF0000"/>
                      <w:sz w:val="21"/>
                      <w:szCs w:val="21"/>
                      <w:lang w:val="en-US" w:eastAsia="zh-CN"/>
                    </w:rPr>
                  </w:pPr>
                  <w:r>
                    <w:rPr>
                      <w:rFonts w:hint="default" w:ascii="Times New Roman" w:hAnsi="Times New Roman" w:eastAsia="宋体" w:cs="Times New Roman"/>
                      <w:color w:val="FF0000"/>
                      <w:sz w:val="21"/>
                      <w:szCs w:val="21"/>
                      <w:lang w:val="en-US" w:eastAsia="zh-CN"/>
                    </w:rPr>
                    <w:t>塘湾村</w:t>
                  </w:r>
                </w:p>
              </w:tc>
              <w:tc>
                <w:tcPr>
                  <w:tcW w:w="413" w:type="pct"/>
                  <w:tcBorders>
                    <w:tl2br w:val="nil"/>
                    <w:tr2bl w:val="nil"/>
                  </w:tcBorders>
                  <w:vAlign w:val="center"/>
                </w:tcPr>
                <w:p w14:paraId="31085A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FF0000"/>
                      <w:sz w:val="21"/>
                      <w:szCs w:val="21"/>
                      <w:lang w:val="en-US" w:eastAsia="zh-CN"/>
                    </w:rPr>
                  </w:pPr>
                  <w:r>
                    <w:rPr>
                      <w:rFonts w:hint="eastAsia" w:ascii="Times New Roman" w:hAnsi="Times New Roman" w:eastAsia="宋体" w:cs="Times New Roman"/>
                      <w:color w:val="FF0000"/>
                      <w:sz w:val="21"/>
                      <w:szCs w:val="21"/>
                      <w:lang w:val="en-US" w:eastAsia="zh-CN"/>
                    </w:rPr>
                    <w:t>54</w:t>
                  </w:r>
                </w:p>
              </w:tc>
              <w:tc>
                <w:tcPr>
                  <w:tcW w:w="414" w:type="pct"/>
                  <w:tcBorders>
                    <w:tl2br w:val="nil"/>
                    <w:tr2bl w:val="nil"/>
                  </w:tcBorders>
                  <w:vAlign w:val="center"/>
                </w:tcPr>
                <w:p w14:paraId="368E83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FF0000"/>
                      <w:sz w:val="21"/>
                      <w:szCs w:val="21"/>
                      <w:lang w:val="en-US" w:eastAsia="zh-CN"/>
                    </w:rPr>
                  </w:pPr>
                  <w:r>
                    <w:rPr>
                      <w:rFonts w:hint="eastAsia" w:ascii="Times New Roman" w:hAnsi="Times New Roman" w:eastAsia="宋体" w:cs="Times New Roman"/>
                      <w:color w:val="FF0000"/>
                      <w:sz w:val="21"/>
                      <w:szCs w:val="21"/>
                      <w:lang w:val="en-US" w:eastAsia="zh-CN"/>
                    </w:rPr>
                    <w:t>47</w:t>
                  </w:r>
                </w:p>
              </w:tc>
              <w:tc>
                <w:tcPr>
                  <w:tcW w:w="413" w:type="pct"/>
                  <w:tcBorders>
                    <w:tl2br w:val="nil"/>
                    <w:tr2bl w:val="nil"/>
                  </w:tcBorders>
                  <w:vAlign w:val="center"/>
                </w:tcPr>
                <w:p w14:paraId="1B5186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FF0000"/>
                      <w:sz w:val="21"/>
                      <w:szCs w:val="21"/>
                      <w:lang w:val="en-US" w:eastAsia="zh-CN"/>
                    </w:rPr>
                  </w:pPr>
                  <w:r>
                    <w:rPr>
                      <w:rFonts w:hint="eastAsia" w:ascii="Times New Roman" w:hAnsi="Times New Roman" w:eastAsia="宋体" w:cs="Times New Roman"/>
                      <w:color w:val="FF0000"/>
                      <w:sz w:val="21"/>
                      <w:szCs w:val="21"/>
                      <w:lang w:val="en-US" w:eastAsia="zh-CN"/>
                    </w:rPr>
                    <w:t>55</w:t>
                  </w:r>
                </w:p>
              </w:tc>
              <w:tc>
                <w:tcPr>
                  <w:tcW w:w="414" w:type="pct"/>
                  <w:tcBorders>
                    <w:tl2br w:val="nil"/>
                    <w:tr2bl w:val="nil"/>
                  </w:tcBorders>
                  <w:vAlign w:val="center"/>
                </w:tcPr>
                <w:p w14:paraId="5200EA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FF0000"/>
                      <w:sz w:val="21"/>
                      <w:szCs w:val="21"/>
                      <w:lang w:val="en-US" w:eastAsia="zh-CN"/>
                    </w:rPr>
                  </w:pPr>
                  <w:r>
                    <w:rPr>
                      <w:rFonts w:hint="eastAsia" w:ascii="Times New Roman" w:hAnsi="Times New Roman" w:eastAsia="宋体" w:cs="Times New Roman"/>
                      <w:color w:val="FF0000"/>
                      <w:sz w:val="21"/>
                      <w:szCs w:val="21"/>
                      <w:lang w:val="en-US" w:eastAsia="zh-CN"/>
                    </w:rPr>
                    <w:t>42</w:t>
                  </w:r>
                </w:p>
              </w:tc>
              <w:tc>
                <w:tcPr>
                  <w:tcW w:w="450" w:type="pct"/>
                  <w:tcBorders>
                    <w:tl2br w:val="nil"/>
                    <w:tr2bl w:val="nil"/>
                  </w:tcBorders>
                  <w:vAlign w:val="center"/>
                </w:tcPr>
                <w:p w14:paraId="39AB2F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FF0000"/>
                      <w:sz w:val="21"/>
                      <w:szCs w:val="21"/>
                      <w:highlight w:val="none"/>
                      <w:lang w:val="en-US" w:eastAsia="zh-CN"/>
                    </w:rPr>
                  </w:pPr>
                  <w:r>
                    <w:rPr>
                      <w:rFonts w:hint="eastAsia" w:cs="Times New Roman"/>
                      <w:color w:val="FF0000"/>
                      <w:sz w:val="21"/>
                      <w:szCs w:val="21"/>
                      <w:highlight w:val="none"/>
                      <w:lang w:val="en-US" w:eastAsia="zh-CN"/>
                    </w:rPr>
                    <w:t>57</w:t>
                  </w:r>
                </w:p>
              </w:tc>
              <w:tc>
                <w:tcPr>
                  <w:tcW w:w="451" w:type="pct"/>
                  <w:tcBorders>
                    <w:tl2br w:val="nil"/>
                    <w:tr2bl w:val="nil"/>
                  </w:tcBorders>
                  <w:vAlign w:val="center"/>
                </w:tcPr>
                <w:p w14:paraId="4EE540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48</w:t>
                  </w:r>
                </w:p>
              </w:tc>
              <w:tc>
                <w:tcPr>
                  <w:tcW w:w="413" w:type="pct"/>
                  <w:tcBorders>
                    <w:tl2br w:val="nil"/>
                    <w:tr2bl w:val="nil"/>
                  </w:tcBorders>
                  <w:vAlign w:val="center"/>
                </w:tcPr>
                <w:p w14:paraId="4AB8AE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60</w:t>
                  </w:r>
                </w:p>
              </w:tc>
              <w:tc>
                <w:tcPr>
                  <w:tcW w:w="488" w:type="pct"/>
                  <w:tcBorders>
                    <w:tl2br w:val="nil"/>
                    <w:tr2bl w:val="nil"/>
                  </w:tcBorders>
                  <w:vAlign w:val="center"/>
                </w:tcPr>
                <w:p w14:paraId="053A7D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50</w:t>
                  </w:r>
                </w:p>
              </w:tc>
              <w:tc>
                <w:tcPr>
                  <w:tcW w:w="395" w:type="pct"/>
                  <w:tcBorders>
                    <w:tl2br w:val="nil"/>
                    <w:tr2bl w:val="nil"/>
                  </w:tcBorders>
                  <w:vAlign w:val="center"/>
                </w:tcPr>
                <w:p w14:paraId="109D40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359" w:type="pct"/>
                  <w:tcBorders>
                    <w:tl2br w:val="nil"/>
                    <w:tr2bl w:val="nil"/>
                  </w:tcBorders>
                  <w:vAlign w:val="center"/>
                </w:tcPr>
                <w:p w14:paraId="5D2769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32EE8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86" w:type="pct"/>
                  <w:tcBorders>
                    <w:tl2br w:val="nil"/>
                    <w:tr2bl w:val="nil"/>
                  </w:tcBorders>
                  <w:vAlign w:val="top"/>
                </w:tcPr>
                <w:p w14:paraId="370A78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佛坪县气象局</w:t>
                  </w:r>
                </w:p>
              </w:tc>
              <w:tc>
                <w:tcPr>
                  <w:tcW w:w="413" w:type="pct"/>
                  <w:tcBorders>
                    <w:tl2br w:val="nil"/>
                    <w:tr2bl w:val="nil"/>
                  </w:tcBorders>
                  <w:vAlign w:val="center"/>
                </w:tcPr>
                <w:p w14:paraId="378065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55</w:t>
                  </w:r>
                </w:p>
              </w:tc>
              <w:tc>
                <w:tcPr>
                  <w:tcW w:w="414" w:type="pct"/>
                  <w:tcBorders>
                    <w:tl2br w:val="nil"/>
                    <w:tr2bl w:val="nil"/>
                  </w:tcBorders>
                  <w:vAlign w:val="center"/>
                </w:tcPr>
                <w:p w14:paraId="1896A2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45</w:t>
                  </w:r>
                </w:p>
              </w:tc>
              <w:tc>
                <w:tcPr>
                  <w:tcW w:w="413" w:type="pct"/>
                  <w:tcBorders>
                    <w:tl2br w:val="nil"/>
                    <w:tr2bl w:val="nil"/>
                  </w:tcBorders>
                  <w:vAlign w:val="center"/>
                </w:tcPr>
                <w:p w14:paraId="7A7287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59</w:t>
                  </w:r>
                </w:p>
              </w:tc>
              <w:tc>
                <w:tcPr>
                  <w:tcW w:w="414" w:type="pct"/>
                  <w:tcBorders>
                    <w:tl2br w:val="nil"/>
                    <w:tr2bl w:val="nil"/>
                  </w:tcBorders>
                  <w:vAlign w:val="center"/>
                </w:tcPr>
                <w:p w14:paraId="7C40C1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45</w:t>
                  </w:r>
                </w:p>
              </w:tc>
              <w:tc>
                <w:tcPr>
                  <w:tcW w:w="450" w:type="pct"/>
                  <w:tcBorders>
                    <w:tl2br w:val="nil"/>
                    <w:tr2bl w:val="nil"/>
                  </w:tcBorders>
                  <w:vAlign w:val="center"/>
                </w:tcPr>
                <w:p w14:paraId="718696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60</w:t>
                  </w:r>
                </w:p>
              </w:tc>
              <w:tc>
                <w:tcPr>
                  <w:tcW w:w="451" w:type="pct"/>
                  <w:tcBorders>
                    <w:tl2br w:val="nil"/>
                    <w:tr2bl w:val="nil"/>
                  </w:tcBorders>
                  <w:vAlign w:val="center"/>
                </w:tcPr>
                <w:p w14:paraId="239645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48</w:t>
                  </w:r>
                </w:p>
              </w:tc>
              <w:tc>
                <w:tcPr>
                  <w:tcW w:w="413" w:type="pct"/>
                  <w:tcBorders>
                    <w:tl2br w:val="nil"/>
                    <w:tr2bl w:val="nil"/>
                  </w:tcBorders>
                  <w:vAlign w:val="center"/>
                </w:tcPr>
                <w:p w14:paraId="06468E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60</w:t>
                  </w:r>
                </w:p>
              </w:tc>
              <w:tc>
                <w:tcPr>
                  <w:tcW w:w="488" w:type="pct"/>
                  <w:tcBorders>
                    <w:tl2br w:val="nil"/>
                    <w:tr2bl w:val="nil"/>
                  </w:tcBorders>
                  <w:vAlign w:val="center"/>
                </w:tcPr>
                <w:p w14:paraId="48C34E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50</w:t>
                  </w:r>
                </w:p>
              </w:tc>
              <w:tc>
                <w:tcPr>
                  <w:tcW w:w="395" w:type="pct"/>
                  <w:tcBorders>
                    <w:tl2br w:val="nil"/>
                    <w:tr2bl w:val="nil"/>
                  </w:tcBorders>
                  <w:vAlign w:val="center"/>
                </w:tcPr>
                <w:p w14:paraId="2B7B95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359" w:type="pct"/>
                  <w:tcBorders>
                    <w:tl2br w:val="nil"/>
                    <w:tr2bl w:val="nil"/>
                  </w:tcBorders>
                  <w:vAlign w:val="center"/>
                </w:tcPr>
                <w:p w14:paraId="342689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bl>
          <w:p w14:paraId="6B49C993">
            <w:pPr>
              <w:adjustRightInd w:val="0"/>
              <w:snapToGrid w:val="0"/>
              <w:spacing w:line="360" w:lineRule="auto"/>
              <w:ind w:firstLine="480" w:firstLineChars="200"/>
              <w:rPr>
                <w:bCs/>
                <w:color w:val="auto"/>
                <w:spacing w:val="-10"/>
                <w:sz w:val="24"/>
              </w:rPr>
            </w:pPr>
            <w:r>
              <w:rPr>
                <w:color w:val="auto"/>
                <w:sz w:val="24"/>
              </w:rPr>
              <w:t>据上表预测结果可知，</w:t>
            </w:r>
            <w:r>
              <w:rPr>
                <w:rFonts w:hint="eastAsia"/>
                <w:bCs/>
                <w:color w:val="auto"/>
                <w:sz w:val="24"/>
              </w:rPr>
              <w:t>本项目运营期产噪设备采取基础减振、建筑隔声等措施后，经预测各厂界的昼</w:t>
            </w:r>
            <w:r>
              <w:rPr>
                <w:rFonts w:hint="eastAsia"/>
                <w:bCs/>
                <w:color w:val="auto"/>
                <w:sz w:val="24"/>
                <w:lang w:eastAsia="zh-CN"/>
              </w:rPr>
              <w:t>夜</w:t>
            </w:r>
            <w:r>
              <w:rPr>
                <w:rFonts w:hint="eastAsia"/>
                <w:bCs/>
                <w:color w:val="auto"/>
                <w:sz w:val="24"/>
              </w:rPr>
              <w:t>间噪声贡献值符合《工业企业厂界环境噪声排放标准》（GB12348-2008）中的</w:t>
            </w:r>
            <w:r>
              <w:rPr>
                <w:rFonts w:hint="eastAsia"/>
                <w:bCs/>
                <w:color w:val="auto"/>
                <w:sz w:val="24"/>
                <w:lang w:val="en-US" w:eastAsia="zh-CN"/>
              </w:rPr>
              <w:t>2</w:t>
            </w:r>
            <w:r>
              <w:rPr>
                <w:rFonts w:hint="eastAsia"/>
                <w:bCs/>
                <w:color w:val="auto"/>
                <w:sz w:val="24"/>
              </w:rPr>
              <w:t>类标准要</w:t>
            </w:r>
            <w:r>
              <w:rPr>
                <w:rFonts w:hint="eastAsia" w:ascii="Times New Roman" w:hAnsi="Times New Roman" w:eastAsia="宋体" w:cs="Times New Roman"/>
                <w:bCs/>
                <w:color w:val="auto"/>
                <w:sz w:val="24"/>
              </w:rPr>
              <w:t>求，</w:t>
            </w:r>
            <w:r>
              <w:rPr>
                <w:rFonts w:hint="eastAsia" w:ascii="Times New Roman" w:hAnsi="Times New Roman" w:eastAsia="宋体" w:cs="Times New Roman"/>
                <w:bCs/>
                <w:color w:val="auto"/>
                <w:sz w:val="24"/>
                <w:lang w:val="en-US" w:eastAsia="zh-CN"/>
              </w:rPr>
              <w:t>敏感点（佛坪云溪酒店、</w:t>
            </w:r>
            <w:r>
              <w:rPr>
                <w:rFonts w:hint="default" w:ascii="Times New Roman" w:hAnsi="Times New Roman" w:eastAsia="宋体" w:cs="Times New Roman"/>
                <w:bCs/>
                <w:color w:val="auto"/>
                <w:sz w:val="24"/>
                <w:lang w:val="en-US" w:eastAsia="zh-CN"/>
              </w:rPr>
              <w:t>塘湾村</w:t>
            </w:r>
            <w:r>
              <w:rPr>
                <w:rFonts w:hint="eastAsia" w:ascii="Times New Roman" w:hAnsi="Times New Roman" w:eastAsia="宋体" w:cs="Times New Roman"/>
                <w:bCs/>
                <w:color w:val="auto"/>
                <w:sz w:val="24"/>
                <w:lang w:val="en-US" w:eastAsia="zh-CN"/>
              </w:rPr>
              <w:t>、佛坪县气象局）处预测值可以满足《声环境质量标准》（GB3096-2008）中的2类标准，</w:t>
            </w:r>
            <w:r>
              <w:rPr>
                <w:rFonts w:hint="eastAsia" w:ascii="Times New Roman" w:hAnsi="Times New Roman" w:eastAsia="宋体" w:cs="Times New Roman"/>
                <w:bCs/>
                <w:color w:val="auto"/>
                <w:sz w:val="24"/>
              </w:rPr>
              <w:t>噪声对周围环境影响较小，因此，项目建成运营后，对周边</w:t>
            </w:r>
            <w:r>
              <w:rPr>
                <w:rFonts w:hint="eastAsia"/>
                <w:bCs/>
                <w:color w:val="auto"/>
                <w:sz w:val="24"/>
              </w:rPr>
              <w:t>声环境影响较小</w:t>
            </w:r>
            <w:r>
              <w:rPr>
                <w:bCs/>
                <w:color w:val="auto"/>
                <w:sz w:val="24"/>
              </w:rPr>
              <w:t>。</w:t>
            </w:r>
          </w:p>
          <w:p w14:paraId="4FF25056">
            <w:pPr>
              <w:spacing w:line="360" w:lineRule="auto"/>
              <w:ind w:firstLine="482" w:firstLineChars="200"/>
              <w:rPr>
                <w:b/>
                <w:color w:val="auto"/>
                <w:sz w:val="24"/>
                <w:szCs w:val="27"/>
              </w:rPr>
            </w:pPr>
            <w:r>
              <w:rPr>
                <w:rFonts w:hint="eastAsia"/>
                <w:b/>
                <w:color w:val="auto"/>
                <w:sz w:val="24"/>
                <w:szCs w:val="27"/>
              </w:rPr>
              <w:t>4.</w:t>
            </w:r>
            <w:r>
              <w:rPr>
                <w:rFonts w:hint="eastAsia"/>
                <w:b/>
                <w:color w:val="auto"/>
                <w:sz w:val="24"/>
                <w:szCs w:val="27"/>
                <w:lang w:val="en-US" w:eastAsia="zh-CN"/>
              </w:rPr>
              <w:t>4</w:t>
            </w:r>
            <w:r>
              <w:rPr>
                <w:rFonts w:hint="eastAsia"/>
                <w:b/>
                <w:color w:val="auto"/>
                <w:sz w:val="24"/>
                <w:szCs w:val="27"/>
              </w:rPr>
              <w:t>.3噪声环境影响保护措施</w:t>
            </w:r>
          </w:p>
          <w:p w14:paraId="72C6B6F6">
            <w:pPr>
              <w:spacing w:line="360" w:lineRule="auto"/>
              <w:ind w:firstLine="480" w:firstLineChars="200"/>
              <w:rPr>
                <w:color w:val="auto"/>
                <w:sz w:val="24"/>
              </w:rPr>
            </w:pPr>
            <w:r>
              <w:rPr>
                <w:rFonts w:hint="eastAsia"/>
                <w:color w:val="auto"/>
                <w:sz w:val="24"/>
              </w:rPr>
              <w:t>为降低运行期本项目产生噪声对周围环境影响，企业拟</w:t>
            </w:r>
            <w:r>
              <w:rPr>
                <w:color w:val="auto"/>
                <w:sz w:val="24"/>
              </w:rPr>
              <w:t>采</w:t>
            </w:r>
            <w:r>
              <w:rPr>
                <w:rFonts w:hint="eastAsia"/>
                <w:color w:val="auto"/>
                <w:sz w:val="24"/>
              </w:rPr>
              <w:t>取以下防治措施</w:t>
            </w:r>
            <w:r>
              <w:rPr>
                <w:color w:val="auto"/>
                <w:sz w:val="24"/>
              </w:rPr>
              <w:t>：</w:t>
            </w:r>
          </w:p>
          <w:p w14:paraId="16ACB602">
            <w:pPr>
              <w:spacing w:line="360" w:lineRule="auto"/>
              <w:ind w:firstLine="480" w:firstLineChars="200"/>
              <w:rPr>
                <w:color w:val="auto"/>
                <w:sz w:val="24"/>
              </w:rPr>
            </w:pPr>
            <w:r>
              <w:rPr>
                <w:color w:val="auto"/>
                <w:sz w:val="24"/>
              </w:rPr>
              <w:t>①工程降噪措施：</w:t>
            </w:r>
            <w:r>
              <w:rPr>
                <w:rFonts w:hint="eastAsia"/>
                <w:color w:val="auto"/>
                <w:sz w:val="24"/>
              </w:rPr>
              <w:t>尽量</w:t>
            </w:r>
            <w:r>
              <w:rPr>
                <w:color w:val="auto"/>
                <w:sz w:val="24"/>
              </w:rPr>
              <w:t>选用先进的低噪</w:t>
            </w:r>
            <w:r>
              <w:rPr>
                <w:rFonts w:hint="eastAsia"/>
                <w:color w:val="auto"/>
                <w:sz w:val="24"/>
              </w:rPr>
              <w:t>声</w:t>
            </w:r>
            <w:r>
              <w:rPr>
                <w:color w:val="auto"/>
                <w:sz w:val="24"/>
              </w:rPr>
              <w:t>设备</w:t>
            </w:r>
            <w:r>
              <w:rPr>
                <w:rFonts w:hint="eastAsia"/>
                <w:color w:val="auto"/>
                <w:sz w:val="24"/>
              </w:rPr>
              <w:t>，</w:t>
            </w:r>
            <w:r>
              <w:rPr>
                <w:color w:val="auto"/>
                <w:sz w:val="24"/>
              </w:rPr>
              <w:t>做好设备的安装调试，在设备与地面之间安装</w:t>
            </w:r>
            <w:r>
              <w:rPr>
                <w:rFonts w:hint="eastAsia"/>
                <w:color w:val="auto"/>
                <w:sz w:val="24"/>
              </w:rPr>
              <w:t>基础</w:t>
            </w:r>
            <w:r>
              <w:rPr>
                <w:color w:val="auto"/>
                <w:sz w:val="24"/>
              </w:rPr>
              <w:t>减</w:t>
            </w:r>
            <w:r>
              <w:rPr>
                <w:rFonts w:hint="eastAsia"/>
                <w:color w:val="auto"/>
                <w:sz w:val="24"/>
                <w:highlight w:val="none"/>
              </w:rPr>
              <w:t>振设施</w:t>
            </w:r>
            <w:r>
              <w:rPr>
                <w:color w:val="auto"/>
                <w:sz w:val="24"/>
                <w:highlight w:val="none"/>
              </w:rPr>
              <w:t>，</w:t>
            </w:r>
            <w:r>
              <w:rPr>
                <w:rFonts w:hint="eastAsia"/>
                <w:color w:val="auto"/>
                <w:sz w:val="24"/>
                <w:highlight w:val="none"/>
              </w:rPr>
              <w:t>在</w:t>
            </w:r>
            <w:r>
              <w:rPr>
                <w:rFonts w:hint="eastAsia"/>
                <w:color w:val="auto"/>
                <w:sz w:val="24"/>
                <w:highlight w:val="none"/>
                <w:lang w:val="en-US" w:eastAsia="zh-CN"/>
              </w:rPr>
              <w:t>灌装机</w:t>
            </w:r>
            <w:r>
              <w:rPr>
                <w:color w:val="auto"/>
                <w:kern w:val="0"/>
                <w:sz w:val="24"/>
                <w:highlight w:val="none"/>
                <w:lang w:bidi="en-US"/>
              </w:rPr>
              <w:t>等高噪声</w:t>
            </w:r>
            <w:r>
              <w:rPr>
                <w:rFonts w:hint="eastAsia"/>
                <w:color w:val="auto"/>
                <w:sz w:val="24"/>
                <w:highlight w:val="none"/>
              </w:rPr>
              <w:t>设备接</w:t>
            </w:r>
            <w:r>
              <w:rPr>
                <w:rFonts w:hint="eastAsia"/>
                <w:color w:val="auto"/>
                <w:sz w:val="24"/>
              </w:rPr>
              <w:t>管道位置采用避振软连接，以降低有关设备运行时所产生的振动噪声</w:t>
            </w:r>
            <w:r>
              <w:rPr>
                <w:color w:val="auto"/>
                <w:sz w:val="24"/>
              </w:rPr>
              <w:t>；</w:t>
            </w:r>
          </w:p>
          <w:p w14:paraId="1195798D">
            <w:pPr>
              <w:spacing w:line="360" w:lineRule="auto"/>
              <w:ind w:firstLine="480" w:firstLineChars="200"/>
              <w:rPr>
                <w:color w:val="auto"/>
                <w:sz w:val="24"/>
              </w:rPr>
            </w:pPr>
            <w:r>
              <w:rPr>
                <w:color w:val="auto"/>
                <w:sz w:val="24"/>
              </w:rPr>
              <w:t>②合理布置噪声源：</w:t>
            </w:r>
            <w:r>
              <w:rPr>
                <w:rFonts w:hint="eastAsia"/>
                <w:color w:val="auto"/>
                <w:sz w:val="24"/>
                <w:lang w:eastAsia="zh-CN"/>
              </w:rPr>
              <w:t>优化车间平面布置，</w:t>
            </w:r>
            <w:r>
              <w:rPr>
                <w:color w:val="auto"/>
                <w:sz w:val="24"/>
              </w:rPr>
              <w:t>合理布局，高噪声设备尽量</w:t>
            </w:r>
            <w:r>
              <w:rPr>
                <w:rFonts w:hint="eastAsia"/>
                <w:color w:val="auto"/>
                <w:sz w:val="24"/>
              </w:rPr>
              <w:t>远离</w:t>
            </w:r>
            <w:r>
              <w:rPr>
                <w:rFonts w:hint="eastAsia"/>
                <w:color w:val="auto"/>
                <w:sz w:val="24"/>
                <w:lang w:eastAsia="zh-CN"/>
              </w:rPr>
              <w:t>噪声敏感区和厂界</w:t>
            </w:r>
            <w:r>
              <w:rPr>
                <w:color w:val="auto"/>
                <w:sz w:val="24"/>
              </w:rPr>
              <w:t>，最大程度利用厂房隔声和距离衰减</w:t>
            </w:r>
            <w:r>
              <w:rPr>
                <w:rFonts w:hint="eastAsia"/>
                <w:color w:val="auto"/>
                <w:sz w:val="24"/>
              </w:rPr>
              <w:t>作用，降低设备噪声对外环境产生的不利影响。</w:t>
            </w:r>
          </w:p>
          <w:p w14:paraId="4983CD84">
            <w:pPr>
              <w:spacing w:line="360" w:lineRule="auto"/>
              <w:ind w:firstLine="480" w:firstLineChars="200"/>
              <w:rPr>
                <w:color w:val="auto"/>
                <w:sz w:val="24"/>
              </w:rPr>
            </w:pPr>
            <w:r>
              <w:rPr>
                <w:color w:val="auto"/>
                <w:sz w:val="24"/>
              </w:rPr>
              <w:t>③管理措施</w:t>
            </w:r>
            <w:r>
              <w:rPr>
                <w:rFonts w:hint="eastAsia"/>
                <w:color w:val="auto"/>
                <w:sz w:val="24"/>
              </w:rPr>
              <w:t>：项目运行</w:t>
            </w:r>
            <w:r>
              <w:rPr>
                <w:rFonts w:hint="eastAsia"/>
                <w:color w:val="auto"/>
                <w:sz w:val="24"/>
                <w:lang w:eastAsia="zh-CN"/>
              </w:rPr>
              <w:t>期间加强</w:t>
            </w:r>
            <w:r>
              <w:rPr>
                <w:color w:val="auto"/>
                <w:sz w:val="24"/>
              </w:rPr>
              <w:t>设备定期维护保养管理，保持设备良好的运行效果，以防止</w:t>
            </w:r>
            <w:r>
              <w:rPr>
                <w:rFonts w:hint="eastAsia"/>
                <w:color w:val="auto"/>
                <w:sz w:val="24"/>
              </w:rPr>
              <w:t>发生</w:t>
            </w:r>
            <w:r>
              <w:rPr>
                <w:color w:val="auto"/>
                <w:sz w:val="24"/>
              </w:rPr>
              <w:t>设备故障</w:t>
            </w:r>
            <w:r>
              <w:rPr>
                <w:rFonts w:hint="eastAsia"/>
                <w:color w:val="auto"/>
                <w:sz w:val="24"/>
              </w:rPr>
              <w:t>等</w:t>
            </w:r>
            <w:r>
              <w:rPr>
                <w:color w:val="auto"/>
                <w:sz w:val="24"/>
              </w:rPr>
              <w:t>非正常生产噪声</w:t>
            </w:r>
            <w:r>
              <w:rPr>
                <w:rFonts w:hint="eastAsia"/>
                <w:color w:val="auto"/>
                <w:sz w:val="24"/>
              </w:rPr>
              <w:t>，</w:t>
            </w:r>
            <w:r>
              <w:rPr>
                <w:color w:val="auto"/>
                <w:sz w:val="24"/>
              </w:rPr>
              <w:t>加强职工环保意识教育，提倡文明生产，防止人为噪声</w:t>
            </w:r>
            <w:r>
              <w:rPr>
                <w:rFonts w:hint="eastAsia"/>
                <w:color w:val="auto"/>
                <w:sz w:val="24"/>
              </w:rPr>
              <w:t>。</w:t>
            </w:r>
          </w:p>
          <w:p w14:paraId="77E7F8DC">
            <w:pPr>
              <w:spacing w:line="360" w:lineRule="auto"/>
              <w:ind w:firstLine="480" w:firstLineChars="200"/>
              <w:rPr>
                <w:color w:val="auto"/>
                <w:sz w:val="24"/>
              </w:rPr>
            </w:pPr>
            <w:r>
              <w:rPr>
                <w:color w:val="auto"/>
                <w:sz w:val="24"/>
              </w:rPr>
              <w:t>严格采取以上措施后，</w:t>
            </w:r>
            <w:r>
              <w:rPr>
                <w:rFonts w:hint="eastAsia"/>
                <w:color w:val="auto"/>
                <w:sz w:val="24"/>
                <w:lang w:eastAsia="zh-CN"/>
              </w:rPr>
              <w:t>本</w:t>
            </w:r>
            <w:r>
              <w:rPr>
                <w:rFonts w:hint="eastAsia"/>
                <w:color w:val="auto"/>
                <w:sz w:val="24"/>
              </w:rPr>
              <w:t>项目运行期</w:t>
            </w:r>
            <w:r>
              <w:rPr>
                <w:color w:val="auto"/>
                <w:sz w:val="24"/>
              </w:rPr>
              <w:t>厂界</w:t>
            </w:r>
            <w:r>
              <w:rPr>
                <w:rFonts w:hint="eastAsia"/>
                <w:color w:val="auto"/>
                <w:sz w:val="24"/>
              </w:rPr>
              <w:t>噪声可满足</w:t>
            </w:r>
            <w:r>
              <w:rPr>
                <w:color w:val="auto"/>
                <w:sz w:val="24"/>
              </w:rPr>
              <w:t>《工业企业厂界环境噪声排放标准》（GB</w:t>
            </w:r>
            <w:r>
              <w:rPr>
                <w:rFonts w:hint="eastAsia"/>
                <w:color w:val="auto"/>
                <w:sz w:val="24"/>
              </w:rPr>
              <w:t xml:space="preserve"> </w:t>
            </w:r>
            <w:r>
              <w:rPr>
                <w:color w:val="auto"/>
                <w:sz w:val="24"/>
              </w:rPr>
              <w:t>12348-2008）中</w:t>
            </w:r>
            <w:r>
              <w:rPr>
                <w:rFonts w:hint="eastAsia"/>
                <w:color w:val="auto"/>
                <w:sz w:val="24"/>
                <w:lang w:val="en-US" w:eastAsia="zh-CN"/>
              </w:rPr>
              <w:t>2</w:t>
            </w:r>
            <w:r>
              <w:rPr>
                <w:color w:val="auto"/>
                <w:sz w:val="24"/>
              </w:rPr>
              <w:t>类标准</w:t>
            </w:r>
            <w:r>
              <w:rPr>
                <w:rFonts w:hint="eastAsia"/>
                <w:color w:val="auto"/>
                <w:sz w:val="24"/>
              </w:rPr>
              <w:t>限值要求</w:t>
            </w:r>
            <w:r>
              <w:rPr>
                <w:color w:val="auto"/>
                <w:sz w:val="24"/>
              </w:rPr>
              <w:t>。</w:t>
            </w:r>
          </w:p>
          <w:p w14:paraId="3E500D6F">
            <w:pPr>
              <w:spacing w:line="360" w:lineRule="auto"/>
              <w:ind w:firstLine="482" w:firstLineChars="200"/>
              <w:rPr>
                <w:b/>
                <w:color w:val="auto"/>
                <w:sz w:val="24"/>
                <w:szCs w:val="27"/>
              </w:rPr>
            </w:pPr>
            <w:r>
              <w:rPr>
                <w:rFonts w:hint="eastAsia"/>
                <w:b/>
                <w:color w:val="auto"/>
                <w:sz w:val="24"/>
                <w:szCs w:val="27"/>
              </w:rPr>
              <w:t>4.</w:t>
            </w:r>
            <w:r>
              <w:rPr>
                <w:rFonts w:hint="eastAsia"/>
                <w:b/>
                <w:color w:val="auto"/>
                <w:sz w:val="24"/>
                <w:szCs w:val="27"/>
                <w:lang w:val="en-US" w:eastAsia="zh-CN"/>
              </w:rPr>
              <w:t>4</w:t>
            </w:r>
            <w:r>
              <w:rPr>
                <w:rFonts w:hint="eastAsia"/>
                <w:b/>
                <w:color w:val="auto"/>
                <w:sz w:val="24"/>
                <w:szCs w:val="27"/>
              </w:rPr>
              <w:t>.4噪声监测要求</w:t>
            </w:r>
          </w:p>
          <w:p w14:paraId="35B917AD">
            <w:pPr>
              <w:spacing w:line="360" w:lineRule="auto"/>
              <w:ind w:firstLine="480" w:firstLineChars="200"/>
              <w:rPr>
                <w:color w:val="auto"/>
                <w:sz w:val="24"/>
              </w:rPr>
            </w:pPr>
            <w:r>
              <w:rPr>
                <w:color w:val="auto"/>
                <w:sz w:val="24"/>
              </w:rPr>
              <w:t>根据《排污许可管理条例》（中华人民共和国国务院令第736号）</w:t>
            </w:r>
            <w:r>
              <w:rPr>
                <w:rFonts w:hint="eastAsia"/>
                <w:color w:val="auto"/>
                <w:sz w:val="24"/>
              </w:rPr>
              <w:t>、《排污许可证申请与核发技术规范</w:t>
            </w:r>
            <w:r>
              <w:rPr>
                <w:rFonts w:hint="eastAsia"/>
                <w:color w:val="auto"/>
                <w:sz w:val="24"/>
                <w:lang w:val="en-US" w:eastAsia="zh-CN"/>
              </w:rPr>
              <w:t xml:space="preserve"> </w:t>
            </w:r>
            <w:r>
              <w:rPr>
                <w:rFonts w:hint="eastAsia"/>
                <w:color w:val="auto"/>
                <w:sz w:val="24"/>
              </w:rPr>
              <w:t>工业噪声》（HJ 1301-2023）</w:t>
            </w:r>
            <w:r>
              <w:rPr>
                <w:rFonts w:hint="eastAsia"/>
                <w:color w:val="auto"/>
                <w:sz w:val="24"/>
                <w:lang w:eastAsia="zh-CN"/>
              </w:rPr>
              <w:t>、</w:t>
            </w:r>
            <w:r>
              <w:rPr>
                <w:rFonts w:hint="eastAsia"/>
                <w:color w:val="auto"/>
                <w:sz w:val="24"/>
                <w:lang w:val="en-US" w:eastAsia="zh-CN"/>
              </w:rPr>
              <w:t>《排污单位自行监测技术指南 酒、饮料制造》（HJ 1085-2020）</w:t>
            </w:r>
            <w:r>
              <w:rPr>
                <w:color w:val="auto"/>
                <w:sz w:val="24"/>
              </w:rPr>
              <w:t>相关要求，</w:t>
            </w:r>
            <w:r>
              <w:rPr>
                <w:rFonts w:hint="eastAsia"/>
                <w:color w:val="auto"/>
                <w:sz w:val="24"/>
                <w:lang w:eastAsia="zh-CN"/>
              </w:rPr>
              <w:t>本</w:t>
            </w:r>
            <w:r>
              <w:rPr>
                <w:rFonts w:hint="eastAsia"/>
                <w:color w:val="auto"/>
                <w:sz w:val="24"/>
              </w:rPr>
              <w:t>项目运营期厂界噪声环境</w:t>
            </w:r>
            <w:r>
              <w:rPr>
                <w:color w:val="auto"/>
                <w:sz w:val="24"/>
              </w:rPr>
              <w:t>监测计划如下：</w:t>
            </w:r>
          </w:p>
          <w:p w14:paraId="46A599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p>
          <w:p w14:paraId="4891B7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p>
          <w:p w14:paraId="7D18AD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b/>
                <w:bCs/>
                <w:color w:val="auto"/>
                <w:sz w:val="21"/>
                <w:szCs w:val="21"/>
              </w:rPr>
              <w:t>表</w:t>
            </w:r>
            <w:r>
              <w:rPr>
                <w:rFonts w:hint="eastAsia"/>
                <w:b/>
                <w:bCs/>
                <w:color w:val="auto"/>
                <w:sz w:val="21"/>
                <w:szCs w:val="21"/>
              </w:rPr>
              <w:t>4-</w:t>
            </w:r>
            <w:r>
              <w:rPr>
                <w:rFonts w:hint="eastAsia"/>
                <w:b/>
                <w:bCs/>
                <w:color w:val="auto"/>
                <w:sz w:val="21"/>
                <w:szCs w:val="21"/>
                <w:lang w:val="en-US" w:eastAsia="zh-CN"/>
              </w:rPr>
              <w:t>9</w:t>
            </w:r>
            <w:r>
              <w:rPr>
                <w:rFonts w:hint="eastAsia"/>
                <w:b/>
                <w:bCs/>
                <w:color w:val="auto"/>
                <w:sz w:val="21"/>
                <w:szCs w:val="21"/>
              </w:rPr>
              <w:t xml:space="preserve"> </w:t>
            </w:r>
            <w:r>
              <w:rPr>
                <w:rFonts w:hint="eastAsia"/>
                <w:b/>
                <w:bCs/>
                <w:color w:val="auto"/>
                <w:sz w:val="21"/>
                <w:szCs w:val="21"/>
                <w:lang w:eastAsia="zh-CN"/>
              </w:rPr>
              <w:t>本</w:t>
            </w:r>
            <w:r>
              <w:rPr>
                <w:b/>
                <w:bCs/>
                <w:color w:val="auto"/>
                <w:sz w:val="21"/>
                <w:szCs w:val="21"/>
              </w:rPr>
              <w:t>项目</w:t>
            </w:r>
            <w:r>
              <w:rPr>
                <w:rFonts w:hint="eastAsia"/>
                <w:b/>
                <w:bCs/>
                <w:color w:val="auto"/>
                <w:sz w:val="21"/>
                <w:szCs w:val="21"/>
                <w:lang w:val="en-US" w:eastAsia="zh-CN"/>
              </w:rPr>
              <w:t>运营期</w:t>
            </w:r>
            <w:r>
              <w:rPr>
                <w:rFonts w:hint="eastAsia"/>
                <w:b/>
                <w:bCs/>
                <w:color w:val="auto"/>
                <w:sz w:val="21"/>
                <w:szCs w:val="21"/>
              </w:rPr>
              <w:t>噪声</w:t>
            </w:r>
            <w:r>
              <w:rPr>
                <w:b/>
                <w:bCs/>
                <w:color w:val="auto"/>
                <w:sz w:val="21"/>
                <w:szCs w:val="21"/>
              </w:rPr>
              <w:t>自行监测计划</w:t>
            </w:r>
          </w:p>
          <w:tbl>
            <w:tblPr>
              <w:tblStyle w:val="26"/>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699"/>
              <w:gridCol w:w="1249"/>
              <w:gridCol w:w="1117"/>
              <w:gridCol w:w="3887"/>
            </w:tblGrid>
            <w:tr w14:paraId="31E08C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598" w:type="pct"/>
                  <w:tcBorders>
                    <w:tl2br w:val="nil"/>
                    <w:tr2bl w:val="nil"/>
                  </w:tcBorders>
                  <w:vAlign w:val="center"/>
                </w:tcPr>
                <w:p w14:paraId="25D9F8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污染类别</w:t>
                  </w:r>
                </w:p>
              </w:tc>
              <w:tc>
                <w:tcPr>
                  <w:tcW w:w="940" w:type="pct"/>
                  <w:tcBorders>
                    <w:tl2br w:val="nil"/>
                    <w:tr2bl w:val="nil"/>
                  </w:tcBorders>
                  <w:vAlign w:val="center"/>
                </w:tcPr>
                <w:p w14:paraId="6A5C82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监测点位</w:t>
                  </w:r>
                </w:p>
              </w:tc>
              <w:tc>
                <w:tcPr>
                  <w:tcW w:w="691" w:type="pct"/>
                  <w:tcBorders>
                    <w:tl2br w:val="nil"/>
                    <w:tr2bl w:val="nil"/>
                  </w:tcBorders>
                  <w:vAlign w:val="center"/>
                </w:tcPr>
                <w:p w14:paraId="20D7FB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监测因子</w:t>
                  </w:r>
                </w:p>
              </w:tc>
              <w:tc>
                <w:tcPr>
                  <w:tcW w:w="618" w:type="pct"/>
                  <w:tcBorders>
                    <w:tl2br w:val="nil"/>
                    <w:tr2bl w:val="nil"/>
                  </w:tcBorders>
                  <w:vAlign w:val="center"/>
                </w:tcPr>
                <w:p w14:paraId="3CDDBC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监测频次</w:t>
                  </w:r>
                </w:p>
              </w:tc>
              <w:tc>
                <w:tcPr>
                  <w:tcW w:w="2151" w:type="pct"/>
                  <w:tcBorders>
                    <w:tl2br w:val="nil"/>
                    <w:tr2bl w:val="nil"/>
                  </w:tcBorders>
                  <w:vAlign w:val="center"/>
                </w:tcPr>
                <w:p w14:paraId="0CFE0B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执行标准</w:t>
                  </w:r>
                </w:p>
              </w:tc>
            </w:tr>
            <w:tr w14:paraId="5A2E94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98" w:type="pct"/>
                  <w:tcBorders>
                    <w:tl2br w:val="nil"/>
                    <w:tr2bl w:val="nil"/>
                  </w:tcBorders>
                  <w:vAlign w:val="center"/>
                </w:tcPr>
                <w:p w14:paraId="20CB8A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eastAsia="zh-CN"/>
                    </w:rPr>
                    <w:t>厂界</w:t>
                  </w:r>
                  <w:r>
                    <w:rPr>
                      <w:rFonts w:hint="default" w:ascii="Times New Roman" w:hAnsi="Times New Roman" w:eastAsia="宋体" w:cs="Times New Roman"/>
                      <w:color w:val="auto"/>
                      <w:sz w:val="21"/>
                      <w:szCs w:val="21"/>
                    </w:rPr>
                    <w:t>噪声</w:t>
                  </w:r>
                </w:p>
              </w:tc>
              <w:tc>
                <w:tcPr>
                  <w:tcW w:w="940" w:type="pct"/>
                  <w:tcBorders>
                    <w:tl2br w:val="nil"/>
                    <w:tr2bl w:val="nil"/>
                  </w:tcBorders>
                  <w:vAlign w:val="center"/>
                </w:tcPr>
                <w:p w14:paraId="47ACFE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w:t>
                  </w:r>
                  <w:r>
                    <w:rPr>
                      <w:rFonts w:hint="eastAsia" w:cs="Times New Roman"/>
                      <w:color w:val="auto"/>
                      <w:sz w:val="21"/>
                      <w:szCs w:val="21"/>
                      <w:lang w:val="en-US" w:eastAsia="zh-CN"/>
                    </w:rPr>
                    <w:t>厂房</w:t>
                  </w:r>
                  <w:r>
                    <w:rPr>
                      <w:rFonts w:hint="default" w:ascii="Times New Roman" w:hAnsi="Times New Roman" w:eastAsia="宋体" w:cs="Times New Roman"/>
                      <w:color w:val="auto"/>
                      <w:sz w:val="21"/>
                      <w:szCs w:val="21"/>
                    </w:rPr>
                    <w:t>厂界四周1m处</w:t>
                  </w:r>
                </w:p>
              </w:tc>
              <w:tc>
                <w:tcPr>
                  <w:tcW w:w="691" w:type="pct"/>
                  <w:tcBorders>
                    <w:tl2br w:val="nil"/>
                    <w:tr2bl w:val="nil"/>
                  </w:tcBorders>
                  <w:vAlign w:val="center"/>
                </w:tcPr>
                <w:p w14:paraId="582791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厂界噪声</w:t>
                  </w:r>
                </w:p>
              </w:tc>
              <w:tc>
                <w:tcPr>
                  <w:tcW w:w="618" w:type="pct"/>
                  <w:tcBorders>
                    <w:tl2br w:val="nil"/>
                    <w:tr2bl w:val="nil"/>
                  </w:tcBorders>
                  <w:vAlign w:val="center"/>
                </w:tcPr>
                <w:p w14:paraId="29C369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1次/季度</w:t>
                  </w:r>
                </w:p>
              </w:tc>
              <w:tc>
                <w:tcPr>
                  <w:tcW w:w="2151" w:type="pct"/>
                  <w:tcBorders>
                    <w:tl2br w:val="nil"/>
                    <w:tr2bl w:val="nil"/>
                  </w:tcBorders>
                  <w:vAlign w:val="center"/>
                </w:tcPr>
                <w:p w14:paraId="5812A2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《工业企业厂界环境噪声排放标准》（GB12348-2008）中</w:t>
                  </w:r>
                  <w:r>
                    <w:rPr>
                      <w:rFonts w:hint="eastAsia" w:cs="Times New Roman"/>
                      <w:color w:val="auto"/>
                      <w:sz w:val="21"/>
                      <w:szCs w:val="21"/>
                      <w:lang w:val="en-US" w:eastAsia="zh-CN"/>
                    </w:rPr>
                    <w:t>2</w:t>
                  </w:r>
                  <w:r>
                    <w:rPr>
                      <w:rFonts w:hint="default" w:ascii="Times New Roman" w:hAnsi="Times New Roman" w:eastAsia="宋体" w:cs="Times New Roman"/>
                      <w:color w:val="auto"/>
                      <w:sz w:val="21"/>
                      <w:szCs w:val="21"/>
                    </w:rPr>
                    <w:t>类标准</w:t>
                  </w:r>
                </w:p>
              </w:tc>
            </w:tr>
          </w:tbl>
          <w:p w14:paraId="4CE0C56A">
            <w:pPr>
              <w:pStyle w:val="6"/>
              <w:pageBreakBefore w:val="0"/>
              <w:widowControl w:val="0"/>
              <w:kinsoku/>
              <w:wordWrap/>
              <w:overflowPunct/>
              <w:topLinePunct w:val="0"/>
              <w:autoSpaceDE/>
              <w:autoSpaceDN/>
              <w:bidi w:val="0"/>
              <w:adjustRightInd w:val="0"/>
              <w:snapToGrid w:val="0"/>
              <w:spacing w:before="0" w:after="0" w:line="360" w:lineRule="auto"/>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4.</w:t>
            </w:r>
            <w:r>
              <w:rPr>
                <w:rFonts w:hint="eastAsia"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rPr>
              <w:t>固体废物环境影响分析</w:t>
            </w:r>
          </w:p>
          <w:p w14:paraId="3A607F9D">
            <w:pPr>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color w:val="auto"/>
                <w:sz w:val="24"/>
                <w:szCs w:val="27"/>
              </w:rPr>
            </w:pPr>
            <w:r>
              <w:rPr>
                <w:rFonts w:hint="default" w:ascii="Times New Roman" w:hAnsi="Times New Roman" w:eastAsia="宋体" w:cs="Times New Roman"/>
                <w:b/>
                <w:color w:val="auto"/>
                <w:sz w:val="24"/>
                <w:szCs w:val="27"/>
              </w:rPr>
              <w:t>4.</w:t>
            </w:r>
            <w:r>
              <w:rPr>
                <w:rFonts w:hint="eastAsia" w:cs="Times New Roman"/>
                <w:b/>
                <w:color w:val="auto"/>
                <w:sz w:val="24"/>
                <w:szCs w:val="27"/>
                <w:lang w:val="en-US" w:eastAsia="zh-CN"/>
              </w:rPr>
              <w:t>5</w:t>
            </w:r>
            <w:r>
              <w:rPr>
                <w:rFonts w:hint="default" w:ascii="Times New Roman" w:hAnsi="Times New Roman" w:eastAsia="宋体" w:cs="Times New Roman"/>
                <w:b/>
                <w:color w:val="auto"/>
                <w:sz w:val="24"/>
                <w:szCs w:val="27"/>
              </w:rPr>
              <w:t>.1固体废物产生及处置情况</w:t>
            </w:r>
          </w:p>
          <w:p w14:paraId="3F6AD79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kern w:val="2"/>
                <w:sz w:val="24"/>
                <w:szCs w:val="22"/>
                <w:highlight w:val="none"/>
                <w:lang w:val="en-US" w:eastAsia="zh-CN" w:bidi="ar-SA"/>
              </w:rPr>
            </w:pPr>
            <w:r>
              <w:rPr>
                <w:rFonts w:hint="eastAsia" w:ascii="Times New Roman" w:hAnsi="Times New Roman" w:eastAsia="宋体" w:cs="Times New Roman"/>
                <w:b/>
                <w:bCs/>
                <w:color w:val="auto"/>
                <w:kern w:val="2"/>
                <w:sz w:val="24"/>
                <w:szCs w:val="22"/>
                <w:highlight w:val="none"/>
                <w:lang w:val="en-US" w:eastAsia="zh-CN" w:bidi="ar-SA"/>
              </w:rPr>
              <w:t>（1）</w:t>
            </w:r>
            <w:r>
              <w:rPr>
                <w:rFonts w:hint="default" w:ascii="Times New Roman" w:hAnsi="Times New Roman" w:eastAsia="宋体" w:cs="Times New Roman"/>
                <w:b/>
                <w:bCs/>
                <w:color w:val="auto"/>
                <w:kern w:val="2"/>
                <w:sz w:val="24"/>
                <w:szCs w:val="22"/>
                <w:highlight w:val="none"/>
                <w:lang w:val="en-US" w:eastAsia="zh-CN" w:bidi="ar-SA"/>
              </w:rPr>
              <w:t>生活垃圾</w:t>
            </w:r>
          </w:p>
          <w:p w14:paraId="4E6EDF5A">
            <w:pPr>
              <w:pStyle w:val="54"/>
              <w:rPr>
                <w:rFonts w:ascii="宋体" w:hAnsi="宋体" w:cs="宋体"/>
                <w:color w:val="auto"/>
                <w:highlight w:val="yellow"/>
              </w:rPr>
            </w:pPr>
            <w:r>
              <w:rPr>
                <w:color w:val="auto"/>
                <w:highlight w:val="none"/>
              </w:rPr>
              <w:t>本项目员工定员</w:t>
            </w:r>
            <w:r>
              <w:rPr>
                <w:rFonts w:hint="eastAsia"/>
                <w:color w:val="auto"/>
                <w:highlight w:val="none"/>
                <w:lang w:val="en-US" w:eastAsia="zh-CN"/>
              </w:rPr>
              <w:t>27</w:t>
            </w:r>
            <w:r>
              <w:rPr>
                <w:color w:val="auto"/>
                <w:highlight w:val="none"/>
              </w:rPr>
              <w:t>人，生活垃圾产生量按0.5kg/人•d，</w:t>
            </w:r>
            <w:r>
              <w:rPr>
                <w:rFonts w:hint="default" w:ascii="Times New Roman" w:hAnsi="Times New Roman" w:eastAsia="宋体" w:cs="Times New Roman"/>
                <w:color w:val="auto"/>
                <w:sz w:val="24"/>
                <w:szCs w:val="24"/>
                <w:highlight w:val="none"/>
                <w:lang w:val="en-US" w:eastAsia="zh-CN"/>
              </w:rPr>
              <w:t>年工作时间为</w:t>
            </w:r>
            <w:r>
              <w:rPr>
                <w:rFonts w:hint="eastAsia" w:cs="Times New Roman"/>
                <w:color w:val="auto"/>
                <w:sz w:val="24"/>
                <w:szCs w:val="24"/>
                <w:highlight w:val="none"/>
                <w:lang w:val="en-US" w:eastAsia="zh-CN"/>
              </w:rPr>
              <w:t>27</w:t>
            </w:r>
            <w:r>
              <w:rPr>
                <w:rFonts w:hint="eastAsia"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lang w:val="en-US" w:eastAsia="zh-CN"/>
              </w:rPr>
              <w:t>天，</w:t>
            </w:r>
            <w:r>
              <w:rPr>
                <w:color w:val="auto"/>
                <w:highlight w:val="none"/>
              </w:rPr>
              <w:t>则生活垃圾产生量为</w:t>
            </w:r>
            <w:r>
              <w:rPr>
                <w:rFonts w:hint="eastAsia"/>
                <w:color w:val="FF0000"/>
                <w:highlight w:val="none"/>
                <w:lang w:val="en-US" w:eastAsia="zh-CN"/>
              </w:rPr>
              <w:t>13</w:t>
            </w:r>
            <w:r>
              <w:rPr>
                <w:color w:val="FF0000"/>
                <w:highlight w:val="none"/>
              </w:rPr>
              <w:t>.5kg/d（</w:t>
            </w:r>
            <w:r>
              <w:rPr>
                <w:rFonts w:hint="eastAsia"/>
                <w:color w:val="FF0000"/>
                <w:highlight w:val="none"/>
                <w:lang w:val="en-US" w:eastAsia="zh-CN"/>
              </w:rPr>
              <w:t>3.65</w:t>
            </w:r>
            <w:r>
              <w:rPr>
                <w:color w:val="FF0000"/>
                <w:highlight w:val="none"/>
              </w:rPr>
              <w:t>t/a）</w:t>
            </w:r>
            <w:r>
              <w:rPr>
                <w:color w:val="auto"/>
                <w:highlight w:val="none"/>
              </w:rPr>
              <w:t>，</w:t>
            </w:r>
            <w:r>
              <w:rPr>
                <w:rFonts w:hint="default" w:ascii="Times New Roman" w:hAnsi="Times New Roman" w:eastAsia="宋体" w:cs="Times New Roman"/>
                <w:color w:val="auto"/>
                <w:sz w:val="24"/>
                <w:szCs w:val="24"/>
                <w:highlight w:val="none"/>
                <w:lang w:val="en-US" w:eastAsia="zh-CN"/>
              </w:rPr>
              <w:t>项目</w:t>
            </w:r>
            <w:r>
              <w:rPr>
                <w:rFonts w:hint="eastAsia" w:ascii="Times New Roman" w:hAnsi="Times New Roman" w:eastAsia="宋体" w:cs="Times New Roman"/>
                <w:color w:val="auto"/>
                <w:sz w:val="24"/>
                <w:szCs w:val="24"/>
                <w:highlight w:val="none"/>
                <w:lang w:val="en-US" w:eastAsia="zh-CN"/>
              </w:rPr>
              <w:t>厂区</w:t>
            </w:r>
            <w:r>
              <w:rPr>
                <w:rFonts w:hint="default" w:ascii="Times New Roman" w:hAnsi="Times New Roman" w:eastAsia="宋体" w:cs="Times New Roman"/>
                <w:color w:val="auto"/>
                <w:sz w:val="24"/>
                <w:szCs w:val="24"/>
                <w:highlight w:val="none"/>
                <w:lang w:val="en-US" w:eastAsia="zh-CN"/>
              </w:rPr>
              <w:t>设置若干垃圾桶，</w:t>
            </w:r>
            <w:r>
              <w:rPr>
                <w:color w:val="auto"/>
                <w:highlight w:val="none"/>
              </w:rPr>
              <w:t>垃圾分类收集</w:t>
            </w:r>
            <w:r>
              <w:rPr>
                <w:rFonts w:hint="eastAsia"/>
                <w:color w:val="auto"/>
                <w:highlight w:val="none"/>
                <w:lang w:eastAsia="zh-CN"/>
              </w:rPr>
              <w:t>后</w:t>
            </w:r>
            <w:r>
              <w:rPr>
                <w:rFonts w:hint="default" w:ascii="Times New Roman" w:hAnsi="Times New Roman" w:eastAsia="宋体" w:cs="Times New Roman"/>
                <w:color w:val="auto"/>
                <w:sz w:val="24"/>
                <w:szCs w:val="24"/>
                <w:highlight w:val="none"/>
                <w:lang w:val="en-US" w:eastAsia="zh-CN"/>
              </w:rPr>
              <w:t>交由环卫部门统一清运处理</w:t>
            </w:r>
            <w:r>
              <w:rPr>
                <w:color w:val="auto"/>
                <w:highlight w:val="none"/>
              </w:rPr>
              <w:t>。</w:t>
            </w:r>
          </w:p>
          <w:p w14:paraId="690ED499">
            <w:pPr>
              <w:spacing w:line="360" w:lineRule="auto"/>
              <w:ind w:firstLine="482" w:firstLineChars="200"/>
              <w:rPr>
                <w:b/>
                <w:bCs/>
                <w:color w:val="auto"/>
                <w:sz w:val="24"/>
              </w:rPr>
            </w:pPr>
            <w:r>
              <w:rPr>
                <w:rFonts w:hint="eastAsia"/>
                <w:b/>
                <w:bCs/>
                <w:color w:val="auto"/>
                <w:sz w:val="24"/>
                <w:lang w:eastAsia="zh-CN"/>
              </w:rPr>
              <w:t>（</w:t>
            </w:r>
            <w:r>
              <w:rPr>
                <w:rFonts w:hint="eastAsia"/>
                <w:b/>
                <w:bCs/>
                <w:color w:val="auto"/>
                <w:sz w:val="24"/>
                <w:lang w:val="en-US" w:eastAsia="zh-CN"/>
              </w:rPr>
              <w:t>2</w:t>
            </w:r>
            <w:r>
              <w:rPr>
                <w:rFonts w:hint="eastAsia"/>
                <w:b/>
                <w:bCs/>
                <w:color w:val="auto"/>
                <w:sz w:val="24"/>
                <w:lang w:eastAsia="zh-CN"/>
              </w:rPr>
              <w:t>）</w:t>
            </w:r>
            <w:r>
              <w:rPr>
                <w:rFonts w:hint="eastAsia"/>
                <w:b/>
                <w:bCs/>
                <w:color w:val="auto"/>
                <w:sz w:val="24"/>
              </w:rPr>
              <w:t>一般工业固体废物</w:t>
            </w:r>
          </w:p>
          <w:p w14:paraId="50E5CEE8">
            <w:pPr>
              <w:rPr>
                <w:rFonts w:hint="eastAsia" w:ascii="Times New Roman" w:hAnsi="Times New Roman" w:eastAsia="宋体" w:cs="Times New Roman"/>
                <w:b w:val="0"/>
                <w:bCs w:val="0"/>
                <w:color w:val="auto"/>
                <w:sz w:val="24"/>
                <w:szCs w:val="24"/>
                <w:lang w:val="en-US" w:eastAsia="zh-CN"/>
              </w:rPr>
            </w:pPr>
            <w:r>
              <w:rPr>
                <w:rFonts w:hint="eastAsia"/>
                <w:b/>
                <w:bCs/>
                <w:color w:val="auto"/>
                <w:vertAlign w:val="baseline"/>
                <w:lang w:eastAsia="zh-CN"/>
              </w:rPr>
              <w:t>废包装材料</w:t>
            </w:r>
            <w:r>
              <w:rPr>
                <w:rFonts w:hint="eastAsia"/>
                <w:color w:val="auto"/>
                <w:vertAlign w:val="baseline"/>
                <w:lang w:eastAsia="zh-CN"/>
              </w:rPr>
              <w:t>：</w:t>
            </w:r>
            <w:r>
              <w:rPr>
                <w:rFonts w:hint="eastAsia" w:ascii="Times New Roman" w:hAnsi="Times New Roman" w:eastAsia="宋体"/>
                <w:color w:val="auto"/>
                <w:kern w:val="0"/>
                <w:sz w:val="24"/>
                <w:szCs w:val="24"/>
                <w:highlight w:val="none"/>
                <w:lang w:val="en-US" w:eastAsia="zh-CN"/>
              </w:rPr>
              <w:t>本项目原辅料拆包过程中会产生废包装材料，属一般工业固体废物，根据建设单位提供资料，废包装材料产生量约为</w:t>
            </w:r>
            <w:r>
              <w:rPr>
                <w:rFonts w:hint="default" w:ascii="Times New Roman" w:hAnsi="Times New Roman" w:eastAsia="宋体"/>
                <w:color w:val="auto"/>
                <w:kern w:val="0"/>
                <w:sz w:val="24"/>
                <w:szCs w:val="24"/>
                <w:highlight w:val="none"/>
                <w:lang w:val="en-US" w:eastAsia="zh-CN"/>
              </w:rPr>
              <w:t>0.5t/a</w:t>
            </w:r>
            <w:r>
              <w:rPr>
                <w:rFonts w:hint="eastAsia" w:eastAsia="宋体"/>
                <w:color w:val="auto"/>
                <w:kern w:val="0"/>
                <w:sz w:val="24"/>
                <w:szCs w:val="24"/>
                <w:highlight w:val="none"/>
                <w:lang w:val="en-US" w:eastAsia="zh-CN"/>
              </w:rPr>
              <w:t>，</w:t>
            </w:r>
            <w:r>
              <w:rPr>
                <w:rFonts w:hint="eastAsia" w:ascii="Times New Roman" w:hAnsi="Times New Roman" w:eastAsia="宋体" w:cs="Times New Roman"/>
                <w:b w:val="0"/>
                <w:bCs w:val="0"/>
                <w:color w:val="auto"/>
                <w:sz w:val="24"/>
                <w:szCs w:val="24"/>
                <w:lang w:val="en-US" w:eastAsia="zh-CN"/>
              </w:rPr>
              <w:t>集中收集</w:t>
            </w:r>
            <w:r>
              <w:rPr>
                <w:rFonts w:hint="eastAsia" w:cs="Times New Roman"/>
                <w:b w:val="0"/>
                <w:bCs w:val="0"/>
                <w:color w:val="auto"/>
                <w:sz w:val="24"/>
                <w:szCs w:val="24"/>
                <w:lang w:val="en-US" w:eastAsia="zh-CN"/>
              </w:rPr>
              <w:t>于一般固废暂存间定期</w:t>
            </w:r>
            <w:r>
              <w:rPr>
                <w:rFonts w:hint="eastAsia" w:ascii="Times New Roman" w:hAnsi="Times New Roman" w:eastAsia="宋体" w:cs="Times New Roman"/>
                <w:b w:val="0"/>
                <w:bCs w:val="0"/>
                <w:color w:val="auto"/>
                <w:sz w:val="24"/>
                <w:szCs w:val="24"/>
                <w:lang w:val="en-US" w:eastAsia="zh-CN"/>
              </w:rPr>
              <w:t>外售。</w:t>
            </w:r>
          </w:p>
          <w:p w14:paraId="65FC3823">
            <w:pPr>
              <w:tabs>
                <w:tab w:val="left" w:pos="2395"/>
              </w:tabs>
              <w:spacing w:line="360" w:lineRule="auto"/>
              <w:ind w:firstLine="480"/>
              <w:rPr>
                <w:rFonts w:hint="eastAsia"/>
                <w:color w:val="auto"/>
                <w:spacing w:val="3"/>
                <w:sz w:val="24"/>
                <w:szCs w:val="24"/>
                <w:lang w:eastAsia="zh-CN"/>
              </w:rPr>
            </w:pPr>
            <w:r>
              <w:rPr>
                <w:rFonts w:hint="eastAsia" w:ascii="Times New Roman" w:hAnsi="Times New Roman" w:eastAsia="宋体" w:cs="Times New Roman"/>
                <w:b/>
                <w:bCs w:val="0"/>
                <w:color w:val="auto"/>
                <w:sz w:val="24"/>
                <w:szCs w:val="20"/>
                <w:lang w:val="en-US" w:eastAsia="zh-CN"/>
              </w:rPr>
              <w:t>过滤残渣</w:t>
            </w:r>
            <w:r>
              <w:rPr>
                <w:rFonts w:hint="eastAsia" w:cs="Times New Roman"/>
                <w:b/>
                <w:bCs w:val="0"/>
                <w:color w:val="auto"/>
                <w:sz w:val="24"/>
                <w:szCs w:val="20"/>
                <w:lang w:val="en-US" w:eastAsia="zh-CN"/>
              </w:rPr>
              <w:t>、废烂果品</w:t>
            </w:r>
            <w:r>
              <w:rPr>
                <w:rFonts w:hint="eastAsia" w:ascii="Times New Roman" w:hAnsi="Times New Roman" w:eastAsia="宋体" w:cs="Times New Roman"/>
                <w:b/>
                <w:bCs w:val="0"/>
                <w:color w:val="auto"/>
                <w:sz w:val="24"/>
                <w:szCs w:val="20"/>
                <w:lang w:val="en-US" w:eastAsia="zh-CN"/>
              </w:rPr>
              <w:t>：</w:t>
            </w:r>
            <w:r>
              <w:rPr>
                <w:rFonts w:hint="eastAsia"/>
                <w:color w:val="FF0000"/>
                <w:spacing w:val="3"/>
                <w:sz w:val="24"/>
                <w:szCs w:val="24"/>
                <w:lang w:val="en-US" w:eastAsia="zh-CN"/>
              </w:rPr>
              <w:t>包括</w:t>
            </w:r>
            <w:r>
              <w:rPr>
                <w:color w:val="FF0000"/>
                <w:spacing w:val="3"/>
                <w:sz w:val="24"/>
                <w:szCs w:val="24"/>
              </w:rPr>
              <w:t>不合格果粒（肉）、</w:t>
            </w:r>
            <w:r>
              <w:rPr>
                <w:rFonts w:hint="eastAsia"/>
                <w:color w:val="FF0000"/>
                <w:spacing w:val="3"/>
                <w:sz w:val="24"/>
                <w:szCs w:val="24"/>
                <w:lang w:eastAsia="zh-CN"/>
              </w:rPr>
              <w:t>过滤残渣</w:t>
            </w:r>
            <w:r>
              <w:rPr>
                <w:color w:val="FF0000"/>
                <w:spacing w:val="3"/>
                <w:sz w:val="24"/>
                <w:szCs w:val="24"/>
              </w:rPr>
              <w:t>等</w:t>
            </w:r>
            <w:r>
              <w:rPr>
                <w:rFonts w:hint="eastAsia"/>
                <w:color w:val="FF0000"/>
                <w:spacing w:val="3"/>
                <w:sz w:val="24"/>
                <w:szCs w:val="24"/>
                <w:lang w:eastAsia="zh-CN"/>
              </w:rPr>
              <w:t>，</w:t>
            </w:r>
            <w:r>
              <w:rPr>
                <w:rFonts w:hint="eastAsia" w:ascii="Times New Roman" w:hAnsi="Times New Roman" w:eastAsia="宋体"/>
                <w:color w:val="FF0000"/>
                <w:kern w:val="0"/>
                <w:sz w:val="24"/>
                <w:szCs w:val="24"/>
                <w:highlight w:val="none"/>
                <w:lang w:val="en-US" w:eastAsia="zh-CN"/>
              </w:rPr>
              <w:t>根据建设单位提供资料</w:t>
            </w:r>
            <w:r>
              <w:rPr>
                <w:rFonts w:hint="eastAsia" w:ascii="Times New Roman" w:hAnsi="Times New Roman" w:eastAsia="宋体" w:cs="Times New Roman"/>
                <w:bCs/>
                <w:color w:val="FF0000"/>
                <w:sz w:val="24"/>
                <w:szCs w:val="24"/>
                <w:lang w:eastAsia="zh-CN"/>
              </w:rPr>
              <w:t>，</w:t>
            </w:r>
            <w:r>
              <w:rPr>
                <w:rFonts w:hint="eastAsia"/>
                <w:color w:val="FF0000"/>
                <w:spacing w:val="3"/>
                <w:sz w:val="24"/>
                <w:szCs w:val="24"/>
                <w:lang w:eastAsia="zh-CN"/>
              </w:rPr>
              <w:t>其中不合格果粒（肉）产生量</w:t>
            </w:r>
            <w:r>
              <w:rPr>
                <w:rFonts w:hint="eastAsia"/>
                <w:color w:val="FF0000"/>
                <w:spacing w:val="3"/>
                <w:sz w:val="24"/>
                <w:szCs w:val="24"/>
                <w:lang w:val="en-US" w:eastAsia="zh-CN"/>
              </w:rPr>
              <w:t>2.975</w:t>
            </w:r>
            <w:r>
              <w:rPr>
                <w:rFonts w:hint="eastAsia"/>
                <w:color w:val="FF0000"/>
                <w:spacing w:val="3"/>
                <w:sz w:val="24"/>
                <w:szCs w:val="24"/>
                <w:lang w:eastAsia="zh-CN"/>
              </w:rPr>
              <w:t>t/a，过滤残渣产生量</w:t>
            </w:r>
            <w:r>
              <w:rPr>
                <w:rFonts w:hint="eastAsia"/>
                <w:color w:val="FF0000"/>
                <w:spacing w:val="3"/>
                <w:sz w:val="24"/>
                <w:szCs w:val="24"/>
                <w:lang w:val="en-US" w:eastAsia="zh-CN"/>
              </w:rPr>
              <w:t>13</w:t>
            </w:r>
            <w:r>
              <w:rPr>
                <w:rFonts w:hint="eastAsia"/>
                <w:color w:val="FF0000"/>
                <w:spacing w:val="3"/>
                <w:sz w:val="24"/>
                <w:szCs w:val="24"/>
                <w:lang w:eastAsia="zh-CN"/>
              </w:rPr>
              <w:t>t/a，</w:t>
            </w:r>
            <w:r>
              <w:rPr>
                <w:rFonts w:hint="eastAsia"/>
                <w:color w:val="FF0000"/>
                <w:spacing w:val="3"/>
                <w:sz w:val="24"/>
                <w:szCs w:val="24"/>
                <w:lang w:val="en-US" w:eastAsia="zh-CN"/>
              </w:rPr>
              <w:t>共计15.975t/a，</w:t>
            </w:r>
            <w:r>
              <w:rPr>
                <w:rFonts w:hint="eastAsia" w:ascii="Times New Roman" w:hAnsi="Times New Roman" w:eastAsia="宋体" w:cs="Times New Roman"/>
                <w:color w:val="auto"/>
                <w:sz w:val="24"/>
                <w:szCs w:val="24"/>
                <w:lang w:val="en-US" w:eastAsia="zh-CN"/>
              </w:rPr>
              <w:t>过滤残渣</w:t>
            </w:r>
            <w:r>
              <w:rPr>
                <w:rFonts w:hint="eastAsia" w:cs="Times New Roman"/>
                <w:color w:val="auto"/>
                <w:sz w:val="24"/>
                <w:szCs w:val="24"/>
                <w:lang w:val="en-US" w:eastAsia="zh-CN"/>
              </w:rPr>
              <w:t>、废烂果品</w:t>
            </w:r>
            <w:r>
              <w:rPr>
                <w:rFonts w:hint="eastAsia" w:ascii="Times New Roman" w:hAnsi="Times New Roman" w:eastAsia="宋体" w:cs="Times New Roman"/>
                <w:color w:val="auto"/>
                <w:sz w:val="24"/>
                <w:szCs w:val="24"/>
                <w:lang w:val="en-US" w:eastAsia="zh-CN"/>
              </w:rPr>
              <w:t>暂存在带盖塑料桶内，及时外售给养殖场作为饲料</w:t>
            </w:r>
            <w:r>
              <w:rPr>
                <w:rFonts w:hint="eastAsia"/>
                <w:color w:val="auto"/>
                <w:sz w:val="24"/>
                <w:szCs w:val="24"/>
                <w:lang w:val="en-US" w:eastAsia="zh-CN"/>
              </w:rPr>
              <w:t>，</w:t>
            </w:r>
            <w:r>
              <w:rPr>
                <w:rFonts w:hint="eastAsia" w:ascii="Times New Roman"/>
                <w:color w:val="auto"/>
                <w:sz w:val="24"/>
                <w:szCs w:val="24"/>
                <w:lang w:val="en-US" w:eastAsia="zh-CN"/>
              </w:rPr>
              <w:t>日产日清</w:t>
            </w:r>
            <w:r>
              <w:rPr>
                <w:rFonts w:hint="eastAsia"/>
                <w:color w:val="auto"/>
                <w:spacing w:val="3"/>
                <w:sz w:val="24"/>
                <w:szCs w:val="24"/>
                <w:lang w:eastAsia="zh-CN"/>
              </w:rPr>
              <w:t>。</w:t>
            </w:r>
          </w:p>
          <w:p w14:paraId="32BE5FC5">
            <w:pPr>
              <w:pStyle w:val="54"/>
              <w:rPr>
                <w:rFonts w:hint="eastAsia"/>
                <w:color w:val="auto"/>
                <w:highlight w:val="none"/>
              </w:rPr>
            </w:pPr>
            <w:r>
              <w:rPr>
                <w:rFonts w:hint="eastAsia" w:cs="Times New Roman"/>
                <w:b/>
                <w:bCs/>
                <w:color w:val="auto"/>
                <w:vertAlign w:val="baseline"/>
                <w:lang w:val="en-US" w:eastAsia="zh-CN"/>
              </w:rPr>
              <w:t>废滤料、滤芯、RO膜</w:t>
            </w:r>
            <w:r>
              <w:rPr>
                <w:rFonts w:hint="eastAsia" w:cs="Times New Roman"/>
                <w:b/>
                <w:bCs/>
                <w:color w:val="auto"/>
                <w:vertAlign w:val="baseline"/>
                <w:lang w:eastAsia="zh-CN"/>
              </w:rPr>
              <w:t>：</w:t>
            </w:r>
            <w:r>
              <w:rPr>
                <w:rFonts w:hint="eastAsia" w:cs="Times New Roman"/>
                <w:b w:val="0"/>
                <w:bCs w:val="0"/>
                <w:color w:val="auto"/>
                <w:vertAlign w:val="baseline"/>
                <w:lang w:eastAsia="zh-CN"/>
              </w:rPr>
              <w:t>根据建设单位提供资料，</w:t>
            </w:r>
            <w:r>
              <w:rPr>
                <w:rFonts w:hint="eastAsia"/>
                <w:color w:val="auto"/>
                <w:sz w:val="24"/>
                <w:lang w:val="en-US" w:eastAsia="zh-CN"/>
              </w:rPr>
              <w:t>本项目水处理设备为双极反渗透净水设备</w:t>
            </w:r>
            <w:r>
              <w:rPr>
                <w:rFonts w:hint="eastAsia"/>
                <w:b w:val="0"/>
                <w:bCs w:val="0"/>
                <w:color w:val="auto"/>
                <w:highlight w:val="none"/>
              </w:rPr>
              <w:t>，对自来水进行过滤，自来水中不含有重金属离子等污染物，因此滤料未含有或沾染毒性、感染性，</w:t>
            </w:r>
            <w:r>
              <w:rPr>
                <w:rFonts w:hint="default" w:ascii="Times New Roman" w:hAnsi="Times New Roman" w:eastAsia="宋体" w:cs="Times New Roman"/>
                <w:bCs/>
                <w:color w:val="auto"/>
                <w:sz w:val="24"/>
                <w:szCs w:val="20"/>
              </w:rPr>
              <w:t>故产生的</w:t>
            </w:r>
            <w:r>
              <w:rPr>
                <w:rFonts w:hint="default" w:ascii="Times New Roman" w:hAnsi="Times New Roman" w:eastAsia="宋体" w:cs="Times New Roman"/>
                <w:bCs/>
                <w:color w:val="auto"/>
                <w:sz w:val="24"/>
                <w:szCs w:val="20"/>
                <w:lang w:val="en-US" w:eastAsia="zh-CN"/>
              </w:rPr>
              <w:t>废滤料、滤芯、RO膜</w:t>
            </w:r>
            <w:r>
              <w:rPr>
                <w:rFonts w:hint="default" w:ascii="Times New Roman" w:hAnsi="Times New Roman" w:eastAsia="宋体" w:cs="Times New Roman"/>
                <w:bCs/>
                <w:color w:val="auto"/>
                <w:sz w:val="24"/>
                <w:szCs w:val="20"/>
              </w:rPr>
              <w:t>不属于危险废物，</w:t>
            </w:r>
            <w:r>
              <w:rPr>
                <w:rFonts w:hint="eastAsia" w:ascii="Times New Roman" w:hAnsi="Times New Roman" w:eastAsia="宋体" w:cs="Times New Roman"/>
                <w:bCs/>
                <w:color w:val="auto"/>
                <w:sz w:val="24"/>
                <w:szCs w:val="20"/>
                <w:lang w:eastAsia="zh-CN"/>
              </w:rPr>
              <w:t>定期更换的</w:t>
            </w:r>
            <w:r>
              <w:rPr>
                <w:rFonts w:hint="eastAsia" w:ascii="Times New Roman" w:hAnsi="Times New Roman" w:eastAsia="宋体" w:cs="Times New Roman"/>
                <w:bCs/>
                <w:color w:val="auto"/>
                <w:sz w:val="24"/>
                <w:szCs w:val="20"/>
                <w:lang w:val="en-US" w:eastAsia="zh-CN"/>
              </w:rPr>
              <w:t>废滤料、滤芯、RO膜暂存于一般固废暂存间，年更换量约为0.</w:t>
            </w:r>
            <w:r>
              <w:rPr>
                <w:rFonts w:hint="eastAsia" w:cs="Times New Roman"/>
                <w:bCs/>
                <w:color w:val="auto"/>
                <w:sz w:val="24"/>
                <w:szCs w:val="20"/>
                <w:lang w:val="en-US" w:eastAsia="zh-CN"/>
              </w:rPr>
              <w:t>8</w:t>
            </w:r>
            <w:r>
              <w:rPr>
                <w:rFonts w:hint="eastAsia" w:ascii="Times New Roman" w:hAnsi="Times New Roman" w:eastAsia="宋体" w:cs="Times New Roman"/>
                <w:bCs/>
                <w:color w:val="auto"/>
                <w:sz w:val="24"/>
                <w:szCs w:val="20"/>
                <w:lang w:val="en-US" w:eastAsia="zh-CN"/>
              </w:rPr>
              <w:t>t/a，</w:t>
            </w:r>
            <w:r>
              <w:rPr>
                <w:rFonts w:hint="eastAsia" w:ascii="Times New Roman" w:hAnsi="Times New Roman" w:eastAsia="宋体" w:cs="Times New Roman"/>
                <w:bCs/>
                <w:color w:val="auto"/>
                <w:sz w:val="24"/>
                <w:szCs w:val="20"/>
                <w:lang w:eastAsia="zh-CN"/>
              </w:rPr>
              <w:t>由供应商进行回收处理</w:t>
            </w:r>
            <w:r>
              <w:rPr>
                <w:rFonts w:hint="eastAsia"/>
                <w:color w:val="auto"/>
                <w:highlight w:val="none"/>
              </w:rPr>
              <w:t>。</w:t>
            </w:r>
          </w:p>
          <w:p w14:paraId="28EA1D27">
            <w:pPr>
              <w:spacing w:line="360" w:lineRule="auto"/>
              <w:ind w:firstLine="482" w:firstLineChars="200"/>
              <w:rPr>
                <w:b/>
                <w:bCs/>
                <w:color w:val="auto"/>
                <w:sz w:val="24"/>
              </w:rPr>
            </w:pPr>
            <w:r>
              <w:rPr>
                <w:rFonts w:hint="eastAsia"/>
                <w:b/>
                <w:bCs/>
                <w:color w:val="auto"/>
                <w:sz w:val="24"/>
              </w:rPr>
              <w:t>（2）危险废物</w:t>
            </w:r>
          </w:p>
          <w:p w14:paraId="64B9CC05">
            <w:pPr>
              <w:rPr>
                <w:rFonts w:hint="eastAsia" w:ascii="Times New Roman" w:hAnsi="Times New Roman" w:eastAsia="宋体" w:cs="Times New Roman"/>
                <w:color w:val="auto"/>
                <w:sz w:val="24"/>
                <w:szCs w:val="24"/>
                <w:lang w:val="en-US" w:eastAsia="zh-CN"/>
              </w:rPr>
            </w:pPr>
            <w:r>
              <w:rPr>
                <w:rFonts w:hint="eastAsia" w:cs="Times New Roman"/>
                <w:b/>
                <w:bCs/>
                <w:color w:val="auto"/>
                <w:kern w:val="2"/>
                <w:sz w:val="24"/>
                <w:szCs w:val="24"/>
                <w:highlight w:val="none"/>
                <w:lang w:val="en-US" w:eastAsia="zh-CN" w:bidi="ar-SA"/>
              </w:rPr>
              <w:t>检验废液：</w:t>
            </w:r>
            <w:r>
              <w:rPr>
                <w:rFonts w:hint="eastAsia" w:ascii="Times New Roman" w:hAnsi="Times New Roman" w:eastAsia="宋体" w:cs="Times New Roman"/>
                <w:color w:val="auto"/>
                <w:sz w:val="24"/>
                <w:szCs w:val="24"/>
                <w:lang w:val="en-US" w:eastAsia="zh-CN"/>
              </w:rPr>
              <w:t>根据建设单位提供</w:t>
            </w:r>
            <w:r>
              <w:rPr>
                <w:rFonts w:hint="eastAsia" w:cs="Times New Roman"/>
                <w:color w:val="auto"/>
                <w:sz w:val="24"/>
                <w:szCs w:val="24"/>
                <w:lang w:val="en-US" w:eastAsia="zh-CN"/>
              </w:rPr>
              <w:t>信息</w:t>
            </w:r>
            <w:r>
              <w:rPr>
                <w:rFonts w:hint="eastAsia" w:ascii="Times New Roman" w:hAnsi="Times New Roman" w:eastAsia="宋体" w:cs="Times New Roman"/>
                <w:color w:val="auto"/>
                <w:sz w:val="24"/>
                <w:szCs w:val="24"/>
                <w:lang w:val="en-US" w:eastAsia="zh-CN"/>
              </w:rPr>
              <w:t>，项目需要对酒精总酸、总糖、酒精度等进行检验，</w:t>
            </w:r>
            <w:r>
              <w:rPr>
                <w:rFonts w:hint="eastAsia" w:ascii="Times New Roman" w:hAnsi="Times New Roman" w:cs="Times New Roman"/>
                <w:color w:val="auto"/>
                <w:sz w:val="24"/>
                <w:szCs w:val="24"/>
                <w:lang w:val="en-US" w:eastAsia="zh-CN"/>
              </w:rPr>
              <w:t>化验过程产生试验废液，产生量约为0.04</w:t>
            </w:r>
            <w:r>
              <w:rPr>
                <w:rFonts w:hint="eastAsia" w:cs="Times New Roman"/>
                <w:color w:val="auto"/>
                <w:sz w:val="24"/>
                <w:szCs w:val="24"/>
                <w:highlight w:val="none"/>
                <w:lang w:val="en-US" w:eastAsia="zh-CN"/>
              </w:rPr>
              <w:t>t/a，采用密闭周转桶、防渗托盘，产生后及时委托有资质单位转运处置，不得在厂内长期暂存。</w:t>
            </w:r>
          </w:p>
          <w:p w14:paraId="699D6356">
            <w:pPr>
              <w:rPr>
                <w:rFonts w:hint="eastAsia" w:ascii="Times New Roman" w:hAnsi="Times New Roman" w:eastAsia="宋体" w:cs="Times New Roman"/>
                <w:color w:val="auto"/>
                <w:kern w:val="2"/>
                <w:sz w:val="24"/>
                <w:szCs w:val="24"/>
                <w:highlight w:val="none"/>
                <w:lang w:val="en-US" w:eastAsia="zh-CN" w:bidi="ar-SA"/>
              </w:rPr>
            </w:pPr>
            <w:r>
              <w:rPr>
                <w:rFonts w:hint="eastAsia" w:cs="Times New Roman"/>
                <w:b/>
                <w:bCs/>
                <w:color w:val="auto"/>
                <w:kern w:val="2"/>
                <w:sz w:val="24"/>
                <w:szCs w:val="24"/>
                <w:highlight w:val="none"/>
                <w:lang w:val="en-US" w:eastAsia="zh-CN" w:bidi="ar-SA"/>
              </w:rPr>
              <w:t>废机油</w:t>
            </w:r>
            <w:r>
              <w:rPr>
                <w:rFonts w:hint="eastAsia" w:ascii="Times New Roman" w:hAnsi="Times New Roman" w:eastAsia="宋体" w:cs="Times New Roman"/>
                <w:b/>
                <w:bCs/>
                <w:color w:val="auto"/>
                <w:kern w:val="2"/>
                <w:sz w:val="24"/>
                <w:szCs w:val="24"/>
                <w:highlight w:val="none"/>
                <w:lang w:val="en-US" w:eastAsia="zh-CN" w:bidi="ar-SA"/>
              </w:rPr>
              <w:t>、</w:t>
            </w:r>
            <w:r>
              <w:rPr>
                <w:rFonts w:hint="eastAsia" w:cs="Times New Roman"/>
                <w:b/>
                <w:bCs/>
                <w:color w:val="auto"/>
                <w:kern w:val="2"/>
                <w:sz w:val="24"/>
                <w:szCs w:val="24"/>
                <w:highlight w:val="none"/>
                <w:lang w:val="en-US" w:eastAsia="zh-CN" w:bidi="ar-SA"/>
              </w:rPr>
              <w:t>废油桶</w:t>
            </w:r>
            <w:r>
              <w:rPr>
                <w:rFonts w:hint="eastAsia"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sz w:val="24"/>
                <w:szCs w:val="24"/>
                <w:lang w:val="en-US" w:eastAsia="zh-CN"/>
              </w:rPr>
              <w:t>根据建设单位提供</w:t>
            </w:r>
            <w:r>
              <w:rPr>
                <w:rFonts w:hint="eastAsia" w:cs="Times New Roman"/>
                <w:color w:val="auto"/>
                <w:sz w:val="24"/>
                <w:szCs w:val="24"/>
                <w:lang w:val="en-US" w:eastAsia="zh-CN"/>
              </w:rPr>
              <w:t>信息</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本</w:t>
            </w:r>
            <w:r>
              <w:rPr>
                <w:rFonts w:hint="eastAsia" w:ascii="Times New Roman" w:hAnsi="Times New Roman" w:eastAsia="宋体" w:cs="Times New Roman"/>
                <w:color w:val="auto"/>
                <w:sz w:val="24"/>
                <w:szCs w:val="24"/>
                <w:lang w:val="en-US" w:eastAsia="zh-CN"/>
              </w:rPr>
              <w:t>项目生产设备机械加工</w:t>
            </w:r>
            <w:r>
              <w:rPr>
                <w:rFonts w:hint="eastAsia" w:cs="Times New Roman"/>
                <w:color w:val="auto"/>
                <w:sz w:val="24"/>
                <w:szCs w:val="24"/>
                <w:lang w:val="en-US" w:eastAsia="zh-CN"/>
              </w:rPr>
              <w:t>及</w:t>
            </w:r>
            <w:r>
              <w:rPr>
                <w:rFonts w:hint="eastAsia" w:cs="Times New Roman"/>
                <w:color w:val="auto"/>
                <w:sz w:val="24"/>
                <w:szCs w:val="24"/>
                <w:highlight w:val="none"/>
                <w:lang w:val="en-US" w:eastAsia="zh-CN"/>
              </w:rPr>
              <w:t>生产设备检修保养</w:t>
            </w:r>
            <w:r>
              <w:rPr>
                <w:rFonts w:hint="eastAsia" w:ascii="Times New Roman" w:hAnsi="Times New Roman" w:eastAsia="宋体" w:cs="Times New Roman"/>
                <w:color w:val="auto"/>
                <w:sz w:val="24"/>
                <w:szCs w:val="24"/>
                <w:lang w:val="en-US" w:eastAsia="zh-CN"/>
              </w:rPr>
              <w:t>过程</w:t>
            </w:r>
            <w:r>
              <w:rPr>
                <w:rFonts w:hint="eastAsia" w:cs="Times New Roman"/>
                <w:color w:val="auto"/>
                <w:sz w:val="24"/>
                <w:szCs w:val="24"/>
                <w:lang w:val="en-US" w:eastAsia="zh-CN"/>
              </w:rPr>
              <w:t>废机油</w:t>
            </w:r>
            <w:r>
              <w:rPr>
                <w:rFonts w:hint="eastAsia" w:ascii="Times New Roman" w:hAnsi="Times New Roman" w:eastAsia="宋体" w:cs="Times New Roman"/>
                <w:color w:val="auto"/>
                <w:sz w:val="24"/>
                <w:szCs w:val="24"/>
                <w:lang w:val="en-US" w:eastAsia="zh-CN"/>
              </w:rPr>
              <w:t>产生量</w:t>
            </w:r>
            <w:r>
              <w:rPr>
                <w:rFonts w:hint="eastAsia" w:ascii="Times New Roman" w:hAnsi="Times New Roman" w:eastAsia="宋体" w:cs="Times New Roman"/>
                <w:color w:val="FF0000"/>
                <w:sz w:val="24"/>
                <w:szCs w:val="24"/>
                <w:lang w:val="en-US" w:eastAsia="zh-CN"/>
              </w:rPr>
              <w:t>约</w:t>
            </w:r>
            <w:r>
              <w:rPr>
                <w:rFonts w:hint="eastAsia" w:cs="Times New Roman"/>
                <w:color w:val="FF0000"/>
                <w:sz w:val="24"/>
                <w:szCs w:val="24"/>
                <w:lang w:val="en-US" w:eastAsia="zh-CN"/>
              </w:rPr>
              <w:t>0.03</w:t>
            </w:r>
            <w:r>
              <w:rPr>
                <w:rFonts w:hint="eastAsia" w:ascii="Times New Roman" w:hAnsi="Times New Roman" w:eastAsia="宋体" w:cs="Times New Roman"/>
                <w:color w:val="FF0000"/>
                <w:sz w:val="24"/>
                <w:szCs w:val="24"/>
                <w:lang w:val="en-US" w:eastAsia="zh-CN"/>
              </w:rPr>
              <w:t>t/a</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highlight w:val="none"/>
                <w:lang w:val="en-US" w:eastAsia="zh-CN"/>
              </w:rPr>
              <w:t>采用密闭周转桶、防渗托盘；废油桶产生量约</w:t>
            </w:r>
            <w:r>
              <w:rPr>
                <w:rFonts w:hint="eastAsia" w:cs="Times New Roman"/>
                <w:color w:val="FF0000"/>
                <w:sz w:val="24"/>
                <w:szCs w:val="24"/>
                <w:highlight w:val="none"/>
                <w:lang w:val="en-US" w:eastAsia="zh-CN"/>
              </w:rPr>
              <w:t>0.01t/a</w:t>
            </w:r>
            <w:r>
              <w:rPr>
                <w:rFonts w:hint="eastAsia" w:cs="Times New Roman"/>
                <w:color w:val="auto"/>
                <w:sz w:val="24"/>
                <w:szCs w:val="24"/>
                <w:highlight w:val="none"/>
                <w:lang w:val="en-US" w:eastAsia="zh-CN"/>
              </w:rPr>
              <w:t>，产生后及时委托有资质单位转运处置，不得在厂内长期暂存。</w:t>
            </w:r>
          </w:p>
          <w:p w14:paraId="21292B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lang w:val="en-US" w:eastAsia="zh-CN"/>
              </w:rPr>
            </w:pPr>
          </w:p>
          <w:p w14:paraId="1CFD53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lang w:val="en-US" w:eastAsia="zh-CN"/>
              </w:rPr>
            </w:pPr>
          </w:p>
          <w:p w14:paraId="36640F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lang w:val="en-US" w:eastAsia="zh-CN"/>
              </w:rPr>
            </w:pPr>
          </w:p>
          <w:p w14:paraId="317202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1"/>
                <w:szCs w:val="21"/>
                <w:lang w:val="en-US" w:eastAsia="zh-CN"/>
              </w:rPr>
            </w:pPr>
          </w:p>
          <w:p w14:paraId="696D66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表4-</w:t>
            </w:r>
            <w:r>
              <w:rPr>
                <w:rFonts w:hint="eastAsia" w:cs="Times New Roman"/>
                <w:b/>
                <w:bCs/>
                <w:color w:val="auto"/>
                <w:sz w:val="21"/>
                <w:szCs w:val="21"/>
                <w:lang w:val="en-US" w:eastAsia="zh-CN"/>
              </w:rPr>
              <w:t>10</w:t>
            </w:r>
            <w:r>
              <w:rPr>
                <w:rFonts w:hint="eastAsia" w:ascii="Times New Roman" w:hAnsi="Times New Roman" w:eastAsia="宋体" w:cs="Times New Roman"/>
                <w:b/>
                <w:bCs/>
                <w:color w:val="auto"/>
                <w:sz w:val="21"/>
                <w:szCs w:val="21"/>
                <w:lang w:val="en-US" w:eastAsia="zh-CN"/>
              </w:rPr>
              <w:t xml:space="preserve"> 本项目固体废物产生及排放情况表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80"/>
              <w:gridCol w:w="1384"/>
              <w:gridCol w:w="1458"/>
              <w:gridCol w:w="932"/>
              <w:gridCol w:w="691"/>
              <w:gridCol w:w="894"/>
              <w:gridCol w:w="727"/>
              <w:gridCol w:w="963"/>
            </w:tblGrid>
            <w:tr w14:paraId="19A0A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89" w:type="pct"/>
                  <w:vAlign w:val="center"/>
                </w:tcPr>
                <w:p w14:paraId="2D35AB7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eastAsia="宋体"/>
                      <w:b/>
                      <w:bCs/>
                      <w:color w:val="auto"/>
                      <w:sz w:val="21"/>
                      <w:szCs w:val="21"/>
                      <w:lang w:eastAsia="zh-CN"/>
                    </w:rPr>
                  </w:pPr>
                  <w:r>
                    <w:rPr>
                      <w:rFonts w:hint="eastAsia"/>
                      <w:b/>
                      <w:bCs/>
                      <w:color w:val="auto"/>
                      <w:sz w:val="21"/>
                      <w:szCs w:val="21"/>
                      <w:lang w:eastAsia="zh-CN"/>
                    </w:rPr>
                    <w:t>类别</w:t>
                  </w:r>
                </w:p>
              </w:tc>
              <w:tc>
                <w:tcPr>
                  <w:tcW w:w="708" w:type="pct"/>
                  <w:vAlign w:val="center"/>
                </w:tcPr>
                <w:p w14:paraId="0D25D85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b/>
                      <w:bCs/>
                      <w:color w:val="auto"/>
                      <w:sz w:val="21"/>
                      <w:szCs w:val="21"/>
                    </w:rPr>
                  </w:pPr>
                  <w:r>
                    <w:rPr>
                      <w:rFonts w:hint="eastAsia"/>
                      <w:b/>
                      <w:bCs/>
                      <w:color w:val="auto"/>
                      <w:sz w:val="21"/>
                      <w:szCs w:val="21"/>
                    </w:rPr>
                    <w:t>污染物</w:t>
                  </w:r>
                </w:p>
              </w:tc>
              <w:tc>
                <w:tcPr>
                  <w:tcW w:w="766" w:type="pct"/>
                  <w:vAlign w:val="center"/>
                </w:tcPr>
                <w:p w14:paraId="28DBEA4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b/>
                      <w:bCs/>
                      <w:color w:val="auto"/>
                      <w:sz w:val="21"/>
                      <w:szCs w:val="21"/>
                    </w:rPr>
                  </w:pPr>
                  <w:r>
                    <w:rPr>
                      <w:rFonts w:hint="eastAsia"/>
                      <w:b/>
                      <w:bCs/>
                      <w:color w:val="auto"/>
                      <w:sz w:val="21"/>
                      <w:szCs w:val="21"/>
                    </w:rPr>
                    <w:t>产污环节</w:t>
                  </w:r>
                </w:p>
              </w:tc>
              <w:tc>
                <w:tcPr>
                  <w:tcW w:w="807" w:type="pct"/>
                  <w:vAlign w:val="center"/>
                </w:tcPr>
                <w:p w14:paraId="5C0B68A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b/>
                      <w:bCs/>
                      <w:color w:val="auto"/>
                      <w:sz w:val="21"/>
                      <w:szCs w:val="21"/>
                    </w:rPr>
                  </w:pPr>
                  <w:r>
                    <w:rPr>
                      <w:rFonts w:hint="eastAsia"/>
                      <w:b/>
                      <w:bCs/>
                      <w:color w:val="auto"/>
                      <w:sz w:val="21"/>
                      <w:szCs w:val="21"/>
                      <w:lang w:eastAsia="zh-CN"/>
                    </w:rPr>
                    <w:t>固体</w:t>
                  </w:r>
                  <w:r>
                    <w:rPr>
                      <w:rFonts w:hint="eastAsia"/>
                      <w:b/>
                      <w:bCs/>
                      <w:color w:val="auto"/>
                      <w:sz w:val="21"/>
                      <w:szCs w:val="21"/>
                    </w:rPr>
                    <w:t>废物代码</w:t>
                  </w:r>
                </w:p>
              </w:tc>
              <w:tc>
                <w:tcPr>
                  <w:tcW w:w="515" w:type="pct"/>
                  <w:vAlign w:val="center"/>
                </w:tcPr>
                <w:p w14:paraId="5999D5F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eastAsia="宋体"/>
                      <w:b/>
                      <w:bCs/>
                      <w:color w:val="auto"/>
                      <w:sz w:val="21"/>
                      <w:szCs w:val="21"/>
                      <w:lang w:eastAsia="zh-CN"/>
                    </w:rPr>
                  </w:pPr>
                  <w:r>
                    <w:rPr>
                      <w:rFonts w:hint="eastAsia"/>
                      <w:b/>
                      <w:bCs/>
                      <w:color w:val="auto"/>
                      <w:sz w:val="21"/>
                      <w:szCs w:val="21"/>
                    </w:rPr>
                    <w:t>产生量</w:t>
                  </w:r>
                  <w:r>
                    <w:rPr>
                      <w:rFonts w:hint="eastAsia"/>
                      <w:b/>
                      <w:bCs/>
                      <w:color w:val="auto"/>
                      <w:sz w:val="21"/>
                      <w:szCs w:val="21"/>
                      <w:lang w:eastAsia="zh-CN"/>
                    </w:rPr>
                    <w:t>（</w:t>
                  </w:r>
                  <w:r>
                    <w:rPr>
                      <w:rFonts w:hint="eastAsia"/>
                      <w:b/>
                      <w:bCs/>
                      <w:color w:val="auto"/>
                      <w:sz w:val="21"/>
                      <w:szCs w:val="21"/>
                      <w:lang w:val="en-US" w:eastAsia="zh-CN"/>
                    </w:rPr>
                    <w:t>t/a</w:t>
                  </w:r>
                  <w:r>
                    <w:rPr>
                      <w:rFonts w:hint="eastAsia"/>
                      <w:b/>
                      <w:bCs/>
                      <w:color w:val="auto"/>
                      <w:sz w:val="21"/>
                      <w:szCs w:val="21"/>
                      <w:lang w:eastAsia="zh-CN"/>
                    </w:rPr>
                    <w:t>）</w:t>
                  </w:r>
                </w:p>
              </w:tc>
              <w:tc>
                <w:tcPr>
                  <w:tcW w:w="382" w:type="pct"/>
                  <w:vAlign w:val="center"/>
                </w:tcPr>
                <w:p w14:paraId="0FFEBA8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b/>
                      <w:bCs/>
                      <w:color w:val="auto"/>
                      <w:sz w:val="21"/>
                      <w:szCs w:val="21"/>
                    </w:rPr>
                  </w:pPr>
                  <w:r>
                    <w:rPr>
                      <w:rFonts w:hint="default" w:ascii="Times New Roman" w:hAnsi="Times New Roman" w:eastAsia="宋体" w:cs="Times New Roman"/>
                      <w:b/>
                      <w:bCs/>
                      <w:color w:val="auto"/>
                      <w:kern w:val="0"/>
                      <w:sz w:val="21"/>
                      <w:szCs w:val="21"/>
                      <w:highlight w:val="none"/>
                    </w:rPr>
                    <w:t>形态</w:t>
                  </w:r>
                </w:p>
              </w:tc>
              <w:tc>
                <w:tcPr>
                  <w:tcW w:w="494" w:type="pct"/>
                  <w:vAlign w:val="center"/>
                </w:tcPr>
                <w:p w14:paraId="4E70D00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b/>
                      <w:bCs/>
                      <w:color w:val="auto"/>
                      <w:sz w:val="21"/>
                      <w:szCs w:val="21"/>
                    </w:rPr>
                  </w:pPr>
                  <w:r>
                    <w:rPr>
                      <w:rFonts w:hint="default" w:ascii="Times New Roman" w:hAnsi="Times New Roman" w:eastAsia="宋体" w:cs="Times New Roman"/>
                      <w:b/>
                      <w:bCs/>
                      <w:color w:val="auto"/>
                      <w:kern w:val="0"/>
                      <w:sz w:val="21"/>
                      <w:szCs w:val="21"/>
                      <w:highlight w:val="none"/>
                    </w:rPr>
                    <w:t>主要成分</w:t>
                  </w:r>
                </w:p>
              </w:tc>
              <w:tc>
                <w:tcPr>
                  <w:tcW w:w="402" w:type="pct"/>
                  <w:vAlign w:val="center"/>
                </w:tcPr>
                <w:p w14:paraId="61C7441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eastAsia"/>
                      <w:b/>
                      <w:bCs/>
                      <w:color w:val="auto"/>
                      <w:sz w:val="21"/>
                      <w:szCs w:val="21"/>
                    </w:rPr>
                    <w:t>危害特性</w:t>
                  </w:r>
                </w:p>
              </w:tc>
              <w:tc>
                <w:tcPr>
                  <w:tcW w:w="532" w:type="pct"/>
                  <w:vAlign w:val="center"/>
                </w:tcPr>
                <w:p w14:paraId="58F009B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b/>
                      <w:bCs/>
                      <w:color w:val="auto"/>
                      <w:sz w:val="21"/>
                      <w:szCs w:val="21"/>
                    </w:rPr>
                  </w:pPr>
                  <w:r>
                    <w:rPr>
                      <w:rFonts w:hint="eastAsia"/>
                      <w:b/>
                      <w:bCs/>
                      <w:color w:val="auto"/>
                      <w:sz w:val="21"/>
                      <w:szCs w:val="21"/>
                    </w:rPr>
                    <w:t>环境管理要求</w:t>
                  </w:r>
                </w:p>
              </w:tc>
            </w:tr>
            <w:tr w14:paraId="3DA9B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389" w:type="pct"/>
                  <w:vMerge w:val="restart"/>
                  <w:vAlign w:val="center"/>
                </w:tcPr>
                <w:p w14:paraId="4F979E9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eastAsia="zh-CN"/>
                    </w:rPr>
                    <w:t>一般工业固体废物</w:t>
                  </w:r>
                </w:p>
              </w:tc>
              <w:tc>
                <w:tcPr>
                  <w:tcW w:w="708" w:type="pct"/>
                  <w:vAlign w:val="center"/>
                </w:tcPr>
                <w:p w14:paraId="24A9A6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废包装材料</w:t>
                  </w:r>
                </w:p>
              </w:tc>
              <w:tc>
                <w:tcPr>
                  <w:tcW w:w="766" w:type="pct"/>
                  <w:vAlign w:val="center"/>
                </w:tcPr>
                <w:p w14:paraId="709BDE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原料包装拆解过程</w:t>
                  </w:r>
                </w:p>
              </w:tc>
              <w:tc>
                <w:tcPr>
                  <w:tcW w:w="807" w:type="pct"/>
                  <w:vAlign w:val="center"/>
                </w:tcPr>
                <w:p w14:paraId="134AE35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b w:val="0"/>
                      <w:bCs w:val="0"/>
                      <w:color w:val="auto"/>
                      <w:sz w:val="21"/>
                      <w:szCs w:val="21"/>
                      <w:lang w:val="en-US"/>
                    </w:rPr>
                  </w:pPr>
                  <w:r>
                    <w:rPr>
                      <w:rFonts w:hint="default"/>
                      <w:b w:val="0"/>
                      <w:bCs w:val="0"/>
                      <w:color w:val="auto"/>
                      <w:sz w:val="21"/>
                      <w:szCs w:val="21"/>
                      <w:lang w:val="en-US"/>
                    </w:rPr>
                    <w:t>900-00</w:t>
                  </w:r>
                  <w:r>
                    <w:rPr>
                      <w:rFonts w:hint="eastAsia"/>
                      <w:b w:val="0"/>
                      <w:bCs w:val="0"/>
                      <w:color w:val="auto"/>
                      <w:sz w:val="21"/>
                      <w:szCs w:val="21"/>
                      <w:lang w:val="en-US" w:eastAsia="zh-CN"/>
                    </w:rPr>
                    <w:t>3</w:t>
                  </w:r>
                  <w:r>
                    <w:rPr>
                      <w:rFonts w:hint="default"/>
                      <w:b w:val="0"/>
                      <w:bCs w:val="0"/>
                      <w:color w:val="auto"/>
                      <w:sz w:val="21"/>
                      <w:szCs w:val="21"/>
                      <w:lang w:val="en-US"/>
                    </w:rPr>
                    <w:t>-S17</w:t>
                  </w:r>
                </w:p>
              </w:tc>
              <w:tc>
                <w:tcPr>
                  <w:tcW w:w="515" w:type="pct"/>
                  <w:vAlign w:val="center"/>
                </w:tcPr>
                <w:p w14:paraId="7069D2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0.5</w:t>
                  </w:r>
                </w:p>
              </w:tc>
              <w:tc>
                <w:tcPr>
                  <w:tcW w:w="382" w:type="pct"/>
                  <w:vAlign w:val="center"/>
                </w:tcPr>
                <w:p w14:paraId="3AF06BA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固态</w:t>
                  </w:r>
                </w:p>
              </w:tc>
              <w:tc>
                <w:tcPr>
                  <w:tcW w:w="494" w:type="pct"/>
                  <w:vAlign w:val="center"/>
                </w:tcPr>
                <w:p w14:paraId="275E00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w:t>
                  </w:r>
                </w:p>
              </w:tc>
              <w:tc>
                <w:tcPr>
                  <w:tcW w:w="402" w:type="pct"/>
                  <w:vAlign w:val="center"/>
                </w:tcPr>
                <w:p w14:paraId="500EBF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rPr>
                  </w:pPr>
                  <w:r>
                    <w:rPr>
                      <w:rFonts w:hint="eastAsia"/>
                      <w:color w:val="auto"/>
                      <w:sz w:val="21"/>
                      <w:szCs w:val="21"/>
                      <w:lang w:val="en-US" w:eastAsia="zh-CN"/>
                    </w:rPr>
                    <w:t>/</w:t>
                  </w:r>
                </w:p>
              </w:tc>
              <w:tc>
                <w:tcPr>
                  <w:tcW w:w="532" w:type="pct"/>
                  <w:vMerge w:val="restart"/>
                  <w:vAlign w:val="center"/>
                </w:tcPr>
                <w:p w14:paraId="336495A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color w:val="auto"/>
                      <w:sz w:val="21"/>
                      <w:szCs w:val="21"/>
                    </w:rPr>
                  </w:pPr>
                  <w:r>
                    <w:rPr>
                      <w:rFonts w:hint="eastAsia"/>
                      <w:color w:val="auto"/>
                      <w:sz w:val="21"/>
                      <w:szCs w:val="21"/>
                    </w:rPr>
                    <w:t>集中收集后定期外售</w:t>
                  </w:r>
                </w:p>
              </w:tc>
            </w:tr>
            <w:tr w14:paraId="78FADA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389" w:type="pct"/>
                  <w:vMerge w:val="continue"/>
                  <w:vAlign w:val="center"/>
                </w:tcPr>
                <w:p w14:paraId="7E5717B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eastAsia="宋体"/>
                      <w:color w:val="auto"/>
                      <w:sz w:val="21"/>
                      <w:szCs w:val="21"/>
                      <w:lang w:eastAsia="zh-CN"/>
                    </w:rPr>
                  </w:pPr>
                </w:p>
              </w:tc>
              <w:tc>
                <w:tcPr>
                  <w:tcW w:w="708" w:type="pct"/>
                  <w:vAlign w:val="center"/>
                </w:tcPr>
                <w:p w14:paraId="4AEA31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过滤残渣</w:t>
                  </w:r>
                  <w:r>
                    <w:rPr>
                      <w:rFonts w:hint="eastAsia" w:cs="Times New Roman"/>
                      <w:b w:val="0"/>
                      <w:bCs w:val="0"/>
                      <w:color w:val="auto"/>
                      <w:kern w:val="2"/>
                      <w:sz w:val="21"/>
                      <w:szCs w:val="21"/>
                      <w:highlight w:val="none"/>
                      <w:lang w:val="en-US" w:eastAsia="zh-CN" w:bidi="ar-SA"/>
                    </w:rPr>
                    <w:t>、废烂果品</w:t>
                  </w:r>
                </w:p>
              </w:tc>
              <w:tc>
                <w:tcPr>
                  <w:tcW w:w="766" w:type="pct"/>
                  <w:vAlign w:val="center"/>
                </w:tcPr>
                <w:p w14:paraId="03B1B4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过滤过程</w:t>
                  </w:r>
                </w:p>
              </w:tc>
              <w:tc>
                <w:tcPr>
                  <w:tcW w:w="807" w:type="pct"/>
                  <w:vAlign w:val="center"/>
                </w:tcPr>
                <w:p w14:paraId="0B0A895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151</w:t>
                  </w:r>
                  <w:r>
                    <w:rPr>
                      <w:rFonts w:hint="default" w:ascii="Times New Roman" w:hAnsi="Times New Roman" w:eastAsia="宋体" w:cs="Times New Roman"/>
                      <w:b w:val="0"/>
                      <w:bCs w:val="0"/>
                      <w:color w:val="auto"/>
                      <w:kern w:val="0"/>
                      <w:sz w:val="21"/>
                      <w:szCs w:val="21"/>
                      <w:highlight w:val="none"/>
                      <w:lang w:val="en-US" w:eastAsia="zh-CN" w:bidi="ar-SA"/>
                    </w:rPr>
                    <w:t>-001-S1</w:t>
                  </w:r>
                  <w:r>
                    <w:rPr>
                      <w:rFonts w:hint="eastAsia" w:cs="Times New Roman"/>
                      <w:b w:val="0"/>
                      <w:bCs w:val="0"/>
                      <w:color w:val="auto"/>
                      <w:kern w:val="0"/>
                      <w:sz w:val="21"/>
                      <w:szCs w:val="21"/>
                      <w:highlight w:val="none"/>
                      <w:lang w:val="en-US" w:eastAsia="zh-CN" w:bidi="ar-SA"/>
                    </w:rPr>
                    <w:t>3</w:t>
                  </w:r>
                </w:p>
              </w:tc>
              <w:tc>
                <w:tcPr>
                  <w:tcW w:w="515" w:type="pct"/>
                  <w:vAlign w:val="center"/>
                </w:tcPr>
                <w:p w14:paraId="4E3EFD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15.975</w:t>
                  </w:r>
                </w:p>
              </w:tc>
              <w:tc>
                <w:tcPr>
                  <w:tcW w:w="382" w:type="pct"/>
                  <w:vAlign w:val="center"/>
                </w:tcPr>
                <w:p w14:paraId="6ACB0F9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color w:val="auto"/>
                      <w:kern w:val="0"/>
                      <w:sz w:val="21"/>
                      <w:szCs w:val="21"/>
                      <w:lang w:val="en-US" w:eastAsia="zh-CN"/>
                    </w:rPr>
                  </w:pPr>
                  <w:r>
                    <w:rPr>
                      <w:rFonts w:hint="eastAsia"/>
                      <w:color w:val="auto"/>
                      <w:kern w:val="0"/>
                      <w:sz w:val="21"/>
                      <w:szCs w:val="21"/>
                      <w:lang w:val="en-US" w:eastAsia="zh-CN"/>
                    </w:rPr>
                    <w:t>固态</w:t>
                  </w:r>
                </w:p>
              </w:tc>
              <w:tc>
                <w:tcPr>
                  <w:tcW w:w="494" w:type="pct"/>
                  <w:vAlign w:val="center"/>
                </w:tcPr>
                <w:p w14:paraId="6CDCFF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eastAsia="zh-CN"/>
                    </w:rPr>
                  </w:pPr>
                  <w:r>
                    <w:rPr>
                      <w:rFonts w:hint="eastAsia"/>
                      <w:color w:val="auto"/>
                      <w:sz w:val="21"/>
                      <w:szCs w:val="21"/>
                      <w:lang w:val="en-US" w:eastAsia="zh-CN"/>
                    </w:rPr>
                    <w:t>/</w:t>
                  </w:r>
                </w:p>
              </w:tc>
              <w:tc>
                <w:tcPr>
                  <w:tcW w:w="402" w:type="pct"/>
                  <w:vAlign w:val="center"/>
                </w:tcPr>
                <w:p w14:paraId="5C53FC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r>
                    <w:rPr>
                      <w:rFonts w:hint="eastAsia"/>
                      <w:color w:val="auto"/>
                      <w:sz w:val="21"/>
                      <w:szCs w:val="21"/>
                      <w:lang w:val="en-US" w:eastAsia="zh-CN"/>
                    </w:rPr>
                    <w:t>/</w:t>
                  </w:r>
                </w:p>
              </w:tc>
              <w:tc>
                <w:tcPr>
                  <w:tcW w:w="532" w:type="pct"/>
                  <w:vMerge w:val="continue"/>
                  <w:vAlign w:val="center"/>
                </w:tcPr>
                <w:p w14:paraId="15DE865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color w:val="auto"/>
                      <w:sz w:val="21"/>
                      <w:szCs w:val="21"/>
                    </w:rPr>
                  </w:pPr>
                </w:p>
              </w:tc>
            </w:tr>
            <w:tr w14:paraId="194A7C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389" w:type="pct"/>
                  <w:vMerge w:val="continue"/>
                  <w:vAlign w:val="center"/>
                </w:tcPr>
                <w:p w14:paraId="22BA5FC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eastAsia="宋体"/>
                      <w:color w:val="auto"/>
                      <w:sz w:val="21"/>
                      <w:szCs w:val="21"/>
                      <w:lang w:eastAsia="zh-CN"/>
                    </w:rPr>
                  </w:pPr>
                </w:p>
              </w:tc>
              <w:tc>
                <w:tcPr>
                  <w:tcW w:w="708" w:type="pct"/>
                  <w:vAlign w:val="center"/>
                </w:tcPr>
                <w:p w14:paraId="56B41A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废滤料、滤芯、RO膜</w:t>
                  </w:r>
                </w:p>
              </w:tc>
              <w:tc>
                <w:tcPr>
                  <w:tcW w:w="766" w:type="pct"/>
                  <w:vAlign w:val="center"/>
                </w:tcPr>
                <w:p w14:paraId="4349BF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制水过程</w:t>
                  </w:r>
                </w:p>
              </w:tc>
              <w:tc>
                <w:tcPr>
                  <w:tcW w:w="807" w:type="pct"/>
                  <w:vAlign w:val="center"/>
                </w:tcPr>
                <w:p w14:paraId="575A209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900-099-S59</w:t>
                  </w:r>
                </w:p>
              </w:tc>
              <w:tc>
                <w:tcPr>
                  <w:tcW w:w="515" w:type="pct"/>
                  <w:vAlign w:val="center"/>
                </w:tcPr>
                <w:p w14:paraId="09CA70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0.8</w:t>
                  </w:r>
                </w:p>
              </w:tc>
              <w:tc>
                <w:tcPr>
                  <w:tcW w:w="382" w:type="pct"/>
                  <w:vAlign w:val="center"/>
                </w:tcPr>
                <w:p w14:paraId="0550D99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color w:val="auto"/>
                      <w:kern w:val="0"/>
                      <w:sz w:val="21"/>
                      <w:szCs w:val="21"/>
                      <w:lang w:val="en-US" w:eastAsia="zh-CN"/>
                    </w:rPr>
                    <w:t>固态</w:t>
                  </w:r>
                </w:p>
              </w:tc>
              <w:tc>
                <w:tcPr>
                  <w:tcW w:w="494" w:type="pct"/>
                  <w:vAlign w:val="center"/>
                </w:tcPr>
                <w:p w14:paraId="2BFFD1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w:t>
                  </w:r>
                </w:p>
              </w:tc>
              <w:tc>
                <w:tcPr>
                  <w:tcW w:w="402" w:type="pct"/>
                  <w:vAlign w:val="center"/>
                </w:tcPr>
                <w:p w14:paraId="045DE0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w:t>
                  </w:r>
                </w:p>
              </w:tc>
              <w:tc>
                <w:tcPr>
                  <w:tcW w:w="532" w:type="pct"/>
                  <w:vAlign w:val="center"/>
                </w:tcPr>
                <w:p w14:paraId="7574787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color w:val="auto"/>
                      <w:sz w:val="21"/>
                      <w:szCs w:val="21"/>
                    </w:rPr>
                  </w:pPr>
                  <w:r>
                    <w:rPr>
                      <w:rFonts w:hint="eastAsia"/>
                      <w:color w:val="auto"/>
                      <w:sz w:val="21"/>
                      <w:szCs w:val="21"/>
                      <w:lang w:eastAsia="zh-CN"/>
                    </w:rPr>
                    <w:t>由供应商进行回收处理</w:t>
                  </w:r>
                </w:p>
              </w:tc>
            </w:tr>
            <w:tr w14:paraId="336684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389" w:type="pct"/>
                  <w:vMerge w:val="restart"/>
                  <w:vAlign w:val="center"/>
                </w:tcPr>
                <w:p w14:paraId="41518E1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eastAsia="zh-CN"/>
                    </w:rPr>
                    <w:t>危险废物</w:t>
                  </w:r>
                </w:p>
              </w:tc>
              <w:tc>
                <w:tcPr>
                  <w:tcW w:w="708" w:type="pct"/>
                  <w:vAlign w:val="center"/>
                </w:tcPr>
                <w:p w14:paraId="25CDBB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试验废液</w:t>
                  </w:r>
                </w:p>
              </w:tc>
              <w:tc>
                <w:tcPr>
                  <w:tcW w:w="766" w:type="pct"/>
                  <w:vAlign w:val="center"/>
                </w:tcPr>
                <w:p w14:paraId="4EE26B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化验过程</w:t>
                  </w:r>
                </w:p>
              </w:tc>
              <w:tc>
                <w:tcPr>
                  <w:tcW w:w="807" w:type="pct"/>
                  <w:vAlign w:val="center"/>
                </w:tcPr>
                <w:p w14:paraId="6700364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eastAsia="宋体"/>
                      <w:color w:val="auto"/>
                      <w:sz w:val="21"/>
                      <w:szCs w:val="21"/>
                      <w:lang w:eastAsia="zh-CN"/>
                    </w:rPr>
                  </w:pPr>
                  <w:r>
                    <w:rPr>
                      <w:rFonts w:hint="eastAsia" w:eastAsia="宋体"/>
                      <w:color w:val="auto"/>
                      <w:sz w:val="21"/>
                      <w:szCs w:val="21"/>
                      <w:lang w:eastAsia="zh-CN"/>
                    </w:rPr>
                    <w:t>HW49 900-04</w:t>
                  </w:r>
                  <w:r>
                    <w:rPr>
                      <w:rFonts w:hint="eastAsia"/>
                      <w:color w:val="auto"/>
                      <w:sz w:val="21"/>
                      <w:szCs w:val="21"/>
                      <w:lang w:val="en-US" w:eastAsia="zh-CN"/>
                    </w:rPr>
                    <w:t>7-</w:t>
                  </w:r>
                  <w:r>
                    <w:rPr>
                      <w:rFonts w:hint="eastAsia" w:eastAsia="宋体"/>
                      <w:color w:val="auto"/>
                      <w:sz w:val="21"/>
                      <w:szCs w:val="21"/>
                      <w:lang w:eastAsia="zh-CN"/>
                    </w:rPr>
                    <w:t>49</w:t>
                  </w:r>
                </w:p>
              </w:tc>
              <w:tc>
                <w:tcPr>
                  <w:tcW w:w="515" w:type="pct"/>
                  <w:vAlign w:val="center"/>
                </w:tcPr>
                <w:p w14:paraId="2A56BB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0.04</w:t>
                  </w:r>
                </w:p>
              </w:tc>
              <w:tc>
                <w:tcPr>
                  <w:tcW w:w="382" w:type="pct"/>
                  <w:vAlign w:val="center"/>
                </w:tcPr>
                <w:p w14:paraId="22C93B1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eastAsia="宋体"/>
                      <w:color w:val="auto"/>
                      <w:sz w:val="21"/>
                      <w:szCs w:val="21"/>
                      <w:lang w:eastAsia="zh-CN"/>
                    </w:rPr>
                  </w:pPr>
                  <w:r>
                    <w:rPr>
                      <w:rFonts w:hint="eastAsia"/>
                      <w:color w:val="auto"/>
                      <w:kern w:val="0"/>
                      <w:sz w:val="21"/>
                      <w:szCs w:val="21"/>
                      <w:lang w:val="en-US" w:eastAsia="zh-CN"/>
                    </w:rPr>
                    <w:t>液态</w:t>
                  </w:r>
                </w:p>
              </w:tc>
              <w:tc>
                <w:tcPr>
                  <w:tcW w:w="494" w:type="pct"/>
                  <w:vAlign w:val="center"/>
                </w:tcPr>
                <w:p w14:paraId="2AAAA8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氢氧化钠</w:t>
                  </w:r>
                </w:p>
              </w:tc>
              <w:tc>
                <w:tcPr>
                  <w:tcW w:w="402" w:type="pct"/>
                  <w:vAlign w:val="center"/>
                </w:tcPr>
                <w:p w14:paraId="34A4C2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T/In</w:t>
                  </w:r>
                </w:p>
              </w:tc>
              <w:tc>
                <w:tcPr>
                  <w:tcW w:w="532" w:type="pct"/>
                  <w:vMerge w:val="restart"/>
                  <w:vAlign w:val="center"/>
                </w:tcPr>
                <w:p w14:paraId="230AEEF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color w:val="auto"/>
                      <w:sz w:val="21"/>
                      <w:szCs w:val="21"/>
                    </w:rPr>
                  </w:pPr>
                  <w:r>
                    <w:rPr>
                      <w:rFonts w:hint="eastAsia"/>
                      <w:color w:val="auto"/>
                      <w:sz w:val="21"/>
                      <w:szCs w:val="21"/>
                    </w:rPr>
                    <w:t>采用密闭周转桶、防渗托盘，</w:t>
                  </w:r>
                  <w:r>
                    <w:rPr>
                      <w:rFonts w:hint="eastAsia"/>
                      <w:color w:val="auto"/>
                      <w:sz w:val="21"/>
                      <w:szCs w:val="21"/>
                      <w:lang w:eastAsia="zh-CN"/>
                    </w:rPr>
                    <w:t>产生后及时</w:t>
                  </w:r>
                  <w:r>
                    <w:rPr>
                      <w:rFonts w:hint="eastAsia"/>
                      <w:color w:val="auto"/>
                      <w:sz w:val="21"/>
                      <w:szCs w:val="21"/>
                    </w:rPr>
                    <w:t>委托有资质单位转运处置，不得</w:t>
                  </w:r>
                  <w:r>
                    <w:rPr>
                      <w:rFonts w:hint="eastAsia"/>
                      <w:color w:val="auto"/>
                      <w:sz w:val="21"/>
                      <w:szCs w:val="21"/>
                      <w:lang w:eastAsia="zh-CN"/>
                    </w:rPr>
                    <w:t>在厂</w:t>
                  </w:r>
                  <w:r>
                    <w:rPr>
                      <w:rFonts w:hint="eastAsia"/>
                      <w:color w:val="auto"/>
                      <w:sz w:val="21"/>
                      <w:szCs w:val="21"/>
                    </w:rPr>
                    <w:t>内长期暂存</w:t>
                  </w:r>
                </w:p>
              </w:tc>
            </w:tr>
            <w:tr w14:paraId="72DC04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92" w:hRule="atLeast"/>
              </w:trPr>
              <w:tc>
                <w:tcPr>
                  <w:tcW w:w="389" w:type="pct"/>
                  <w:vMerge w:val="continue"/>
                  <w:vAlign w:val="center"/>
                </w:tcPr>
                <w:p w14:paraId="39BBA0D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color w:val="auto"/>
                      <w:sz w:val="21"/>
                      <w:szCs w:val="21"/>
                    </w:rPr>
                  </w:pPr>
                </w:p>
              </w:tc>
              <w:tc>
                <w:tcPr>
                  <w:tcW w:w="708" w:type="pct"/>
                  <w:vAlign w:val="center"/>
                </w:tcPr>
                <w:p w14:paraId="052A1B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废机油</w:t>
                  </w:r>
                </w:p>
              </w:tc>
              <w:tc>
                <w:tcPr>
                  <w:tcW w:w="766" w:type="pct"/>
                  <w:vMerge w:val="restart"/>
                  <w:vAlign w:val="center"/>
                </w:tcPr>
                <w:p w14:paraId="75CA8A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机械加工及生产设备检修保养过程</w:t>
                  </w:r>
                </w:p>
              </w:tc>
              <w:tc>
                <w:tcPr>
                  <w:tcW w:w="807" w:type="pct"/>
                  <w:vAlign w:val="center"/>
                </w:tcPr>
                <w:p w14:paraId="015314E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eastAsia="宋体"/>
                      <w:color w:val="auto"/>
                      <w:sz w:val="21"/>
                      <w:szCs w:val="21"/>
                      <w:lang w:eastAsia="zh-CN"/>
                    </w:rPr>
                  </w:pPr>
                  <w:r>
                    <w:rPr>
                      <w:rFonts w:hint="default" w:ascii="Times New Roman" w:hAnsi="Times New Roman" w:eastAsia="宋体" w:cs="Times New Roman"/>
                      <w:color w:val="auto"/>
                      <w:sz w:val="21"/>
                      <w:szCs w:val="21"/>
                      <w:highlight w:val="none"/>
                      <w:lang w:val="en-US" w:eastAsia="zh-CN"/>
                    </w:rPr>
                    <w:t>HW</w:t>
                  </w:r>
                  <w:r>
                    <w:rPr>
                      <w:rFonts w:hint="eastAsia" w:ascii="Times New Roman" w:hAnsi="Times New Roman" w:eastAsia="宋体" w:cs="Times New Roman"/>
                      <w:color w:val="auto"/>
                      <w:sz w:val="21"/>
                      <w:szCs w:val="21"/>
                      <w:highlight w:val="none"/>
                      <w:lang w:val="en-US" w:eastAsia="zh-CN"/>
                    </w:rPr>
                    <w:t xml:space="preserve">08 </w:t>
                  </w:r>
                  <w:r>
                    <w:rPr>
                      <w:rFonts w:hint="default" w:ascii="Times New Roman" w:hAnsi="Times New Roman" w:eastAsia="宋体" w:cs="Times New Roman"/>
                      <w:color w:val="auto"/>
                      <w:sz w:val="21"/>
                      <w:szCs w:val="21"/>
                      <w:highlight w:val="none"/>
                      <w:lang w:val="en-US" w:eastAsia="zh-CN"/>
                    </w:rPr>
                    <w:t>900-</w:t>
                  </w:r>
                  <w:r>
                    <w:rPr>
                      <w:rFonts w:hint="eastAsia" w:ascii="Times New Roman" w:hAnsi="Times New Roman" w:eastAsia="宋体" w:cs="Times New Roman"/>
                      <w:color w:val="auto"/>
                      <w:sz w:val="21"/>
                      <w:szCs w:val="21"/>
                      <w:highlight w:val="none"/>
                      <w:lang w:val="en-US" w:eastAsia="zh-CN"/>
                    </w:rPr>
                    <w:t>21</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08</w:t>
                  </w:r>
                </w:p>
              </w:tc>
              <w:tc>
                <w:tcPr>
                  <w:tcW w:w="515" w:type="pct"/>
                  <w:vAlign w:val="center"/>
                </w:tcPr>
                <w:p w14:paraId="16CE6F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0.03</w:t>
                  </w:r>
                </w:p>
              </w:tc>
              <w:tc>
                <w:tcPr>
                  <w:tcW w:w="382" w:type="pct"/>
                  <w:vAlign w:val="center"/>
                </w:tcPr>
                <w:p w14:paraId="6EEBABE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eastAsia="zh-CN"/>
                    </w:rPr>
                    <w:t>液态</w:t>
                  </w:r>
                </w:p>
              </w:tc>
              <w:tc>
                <w:tcPr>
                  <w:tcW w:w="494" w:type="pct"/>
                  <w:vAlign w:val="center"/>
                </w:tcPr>
                <w:p w14:paraId="73EA1B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eastAsia="zh-CN"/>
                    </w:rPr>
                    <w:t>矿物油类</w:t>
                  </w:r>
                </w:p>
              </w:tc>
              <w:tc>
                <w:tcPr>
                  <w:tcW w:w="402" w:type="pct"/>
                  <w:vAlign w:val="center"/>
                </w:tcPr>
                <w:p w14:paraId="0EB5159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T,I</w:t>
                  </w:r>
                </w:p>
              </w:tc>
              <w:tc>
                <w:tcPr>
                  <w:tcW w:w="532" w:type="pct"/>
                  <w:vMerge w:val="continue"/>
                  <w:vAlign w:val="center"/>
                </w:tcPr>
                <w:p w14:paraId="49FED49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color w:val="auto"/>
                      <w:sz w:val="21"/>
                      <w:szCs w:val="21"/>
                    </w:rPr>
                  </w:pPr>
                </w:p>
              </w:tc>
            </w:tr>
            <w:tr w14:paraId="13D065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389" w:type="pct"/>
                  <w:vMerge w:val="continue"/>
                  <w:vAlign w:val="center"/>
                </w:tcPr>
                <w:p w14:paraId="043ED78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eastAsia="宋体"/>
                      <w:color w:val="auto"/>
                      <w:sz w:val="21"/>
                      <w:szCs w:val="21"/>
                      <w:lang w:eastAsia="zh-CN"/>
                    </w:rPr>
                  </w:pPr>
                </w:p>
              </w:tc>
              <w:tc>
                <w:tcPr>
                  <w:tcW w:w="708" w:type="pct"/>
                  <w:vAlign w:val="center"/>
                </w:tcPr>
                <w:p w14:paraId="10D029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废油桶</w:t>
                  </w:r>
                </w:p>
              </w:tc>
              <w:tc>
                <w:tcPr>
                  <w:tcW w:w="766" w:type="pct"/>
                  <w:vMerge w:val="continue"/>
                  <w:vAlign w:val="center"/>
                </w:tcPr>
                <w:p w14:paraId="518BAC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807" w:type="pct"/>
                  <w:vAlign w:val="center"/>
                </w:tcPr>
                <w:p w14:paraId="44448A1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eastAsia="宋体"/>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HW</w:t>
                  </w:r>
                  <w:r>
                    <w:rPr>
                      <w:rFonts w:hint="eastAsia" w:cs="Times New Roman"/>
                      <w:color w:val="auto"/>
                      <w:sz w:val="21"/>
                      <w:szCs w:val="21"/>
                      <w:highlight w:val="none"/>
                      <w:lang w:val="en-US" w:eastAsia="zh-CN"/>
                    </w:rPr>
                    <w:t>08</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900-</w:t>
                  </w:r>
                  <w:r>
                    <w:rPr>
                      <w:rFonts w:hint="eastAsia" w:cs="Times New Roman"/>
                      <w:color w:val="auto"/>
                      <w:sz w:val="21"/>
                      <w:szCs w:val="21"/>
                      <w:highlight w:val="none"/>
                      <w:lang w:val="en-US" w:eastAsia="zh-CN"/>
                    </w:rPr>
                    <w:t>249</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08</w:t>
                  </w:r>
                </w:p>
              </w:tc>
              <w:tc>
                <w:tcPr>
                  <w:tcW w:w="515" w:type="pct"/>
                  <w:vAlign w:val="center"/>
                </w:tcPr>
                <w:p w14:paraId="5A9CF9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0.01</w:t>
                  </w:r>
                </w:p>
              </w:tc>
              <w:tc>
                <w:tcPr>
                  <w:tcW w:w="382" w:type="pct"/>
                  <w:vAlign w:val="center"/>
                </w:tcPr>
                <w:p w14:paraId="1679CF3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eastAsia="zh-CN"/>
                    </w:rPr>
                    <w:t>固态</w:t>
                  </w:r>
                </w:p>
              </w:tc>
              <w:tc>
                <w:tcPr>
                  <w:tcW w:w="494" w:type="pct"/>
                  <w:vAlign w:val="center"/>
                </w:tcPr>
                <w:p w14:paraId="60F9F3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rPr>
                  </w:pPr>
                  <w:r>
                    <w:rPr>
                      <w:rFonts w:hint="eastAsia"/>
                      <w:color w:val="auto"/>
                      <w:sz w:val="21"/>
                      <w:szCs w:val="21"/>
                      <w:lang w:eastAsia="zh-CN"/>
                    </w:rPr>
                    <w:t>矿物油类</w:t>
                  </w:r>
                </w:p>
              </w:tc>
              <w:tc>
                <w:tcPr>
                  <w:tcW w:w="402" w:type="pct"/>
                  <w:vAlign w:val="center"/>
                </w:tcPr>
                <w:p w14:paraId="5BC58C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val="en-US" w:eastAsia="zh-CN"/>
                    </w:rPr>
                  </w:pPr>
                  <w:r>
                    <w:rPr>
                      <w:rFonts w:hint="eastAsia"/>
                      <w:color w:val="auto"/>
                      <w:sz w:val="21"/>
                      <w:szCs w:val="21"/>
                      <w:lang w:val="en-US" w:eastAsia="zh-CN"/>
                    </w:rPr>
                    <w:t>T</w:t>
                  </w:r>
                </w:p>
              </w:tc>
              <w:tc>
                <w:tcPr>
                  <w:tcW w:w="532" w:type="pct"/>
                  <w:vMerge w:val="continue"/>
                  <w:vAlign w:val="center"/>
                </w:tcPr>
                <w:p w14:paraId="668D250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color w:val="auto"/>
                      <w:sz w:val="21"/>
                      <w:szCs w:val="21"/>
                    </w:rPr>
                  </w:pPr>
                </w:p>
              </w:tc>
            </w:tr>
          </w:tbl>
          <w:p w14:paraId="5BAD6B9C">
            <w:pPr>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color w:val="auto"/>
                <w:sz w:val="24"/>
                <w:szCs w:val="27"/>
                <w:lang w:val="en-US" w:eastAsia="zh-CN"/>
              </w:rPr>
            </w:pPr>
            <w:r>
              <w:rPr>
                <w:rFonts w:hint="default" w:ascii="Times New Roman" w:hAnsi="Times New Roman" w:eastAsia="宋体" w:cs="Times New Roman"/>
                <w:b/>
                <w:color w:val="auto"/>
                <w:sz w:val="24"/>
                <w:szCs w:val="27"/>
              </w:rPr>
              <w:t>4.</w:t>
            </w:r>
            <w:r>
              <w:rPr>
                <w:rFonts w:hint="eastAsia" w:cs="Times New Roman"/>
                <w:b/>
                <w:color w:val="auto"/>
                <w:sz w:val="24"/>
                <w:szCs w:val="27"/>
                <w:lang w:val="en-US" w:eastAsia="zh-CN"/>
              </w:rPr>
              <w:t>5</w:t>
            </w:r>
            <w:r>
              <w:rPr>
                <w:rFonts w:hint="default" w:ascii="Times New Roman" w:hAnsi="Times New Roman" w:eastAsia="宋体" w:cs="Times New Roman"/>
                <w:b/>
                <w:color w:val="auto"/>
                <w:sz w:val="24"/>
                <w:szCs w:val="27"/>
                <w:lang w:val="en-US" w:eastAsia="zh-CN"/>
              </w:rPr>
              <w:t>.2 环境管理要求</w:t>
            </w:r>
          </w:p>
          <w:p w14:paraId="36FFD0F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lang w:val="en-US" w:eastAsia="zh-CN"/>
              </w:rPr>
              <w:t>一般</w:t>
            </w:r>
            <w:r>
              <w:rPr>
                <w:rFonts w:hint="eastAsia" w:cs="Times New Roman"/>
                <w:b/>
                <w:bCs/>
                <w:color w:val="auto"/>
                <w:sz w:val="24"/>
                <w:szCs w:val="24"/>
                <w:highlight w:val="none"/>
                <w:lang w:val="en-US" w:eastAsia="zh-CN"/>
              </w:rPr>
              <w:t>工业</w:t>
            </w:r>
            <w:r>
              <w:rPr>
                <w:rFonts w:hint="default" w:ascii="Times New Roman" w:hAnsi="Times New Roman" w:cs="Times New Roman"/>
                <w:b/>
                <w:bCs/>
                <w:color w:val="auto"/>
                <w:sz w:val="24"/>
                <w:szCs w:val="24"/>
                <w:highlight w:val="none"/>
                <w:lang w:val="en-US" w:eastAsia="zh-CN"/>
              </w:rPr>
              <w:t>固废管理</w:t>
            </w:r>
            <w:r>
              <w:rPr>
                <w:rFonts w:hint="eastAsia" w:cs="Times New Roman"/>
                <w:b/>
                <w:bCs/>
                <w:color w:val="auto"/>
                <w:sz w:val="24"/>
                <w:szCs w:val="24"/>
                <w:highlight w:val="none"/>
                <w:lang w:val="en-US" w:eastAsia="zh-CN"/>
              </w:rPr>
              <w:t>要求</w:t>
            </w:r>
          </w:p>
          <w:p w14:paraId="255DB5E6">
            <w:pPr>
              <w:pStyle w:val="6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根据建设单位提供平面布置图，本项目一般固废暂存间设置于原料精选间东侧</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8</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企业</w:t>
            </w:r>
            <w:r>
              <w:rPr>
                <w:rFonts w:hint="eastAsia" w:ascii="Times New Roman" w:hAnsi="Times New Roman" w:eastAsia="宋体" w:cs="Times New Roman"/>
                <w:color w:val="auto"/>
                <w:sz w:val="24"/>
                <w:szCs w:val="24"/>
                <w:highlight w:val="none"/>
                <w:lang w:val="en-US" w:eastAsia="zh-CN"/>
              </w:rPr>
              <w:t>通</w:t>
            </w:r>
            <w:r>
              <w:rPr>
                <w:rFonts w:hint="eastAsia" w:ascii="Times New Roman" w:hAnsi="Times New Roman" w:eastAsia="宋体" w:cs="Times New Roman"/>
                <w:color w:val="auto"/>
                <w:sz w:val="24"/>
                <w:szCs w:val="24"/>
                <w:lang w:val="en-US" w:eastAsia="zh-CN"/>
              </w:rPr>
              <w:t>过</w:t>
            </w:r>
            <w:r>
              <w:rPr>
                <w:rFonts w:hint="default" w:ascii="Times New Roman" w:hAnsi="Times New Roman" w:eastAsia="宋体" w:cs="Times New Roman"/>
                <w:color w:val="auto"/>
                <w:sz w:val="24"/>
                <w:szCs w:val="24"/>
                <w:lang w:eastAsia="zh-CN"/>
              </w:rPr>
              <w:t>加强</w:t>
            </w:r>
            <w:r>
              <w:rPr>
                <w:rFonts w:hint="eastAsia" w:ascii="Times New Roman" w:hAnsi="Times New Roman" w:eastAsia="宋体" w:cs="Times New Roman"/>
                <w:color w:val="auto"/>
                <w:sz w:val="24"/>
                <w:szCs w:val="24"/>
                <w:lang w:val="en-US" w:eastAsia="zh-CN"/>
              </w:rPr>
              <w:t>一般工业固废及固废暂存间</w:t>
            </w:r>
            <w:r>
              <w:rPr>
                <w:rFonts w:hint="default" w:ascii="Times New Roman" w:hAnsi="Times New Roman" w:eastAsia="宋体" w:cs="Times New Roman"/>
                <w:color w:val="auto"/>
                <w:sz w:val="24"/>
                <w:szCs w:val="24"/>
                <w:lang w:eastAsia="zh-CN"/>
              </w:rPr>
              <w:t>管理</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定期清运处理，缩短</w:t>
            </w:r>
            <w:r>
              <w:rPr>
                <w:rFonts w:hint="eastAsia" w:ascii="Times New Roman" w:hAnsi="Times New Roman" w:eastAsia="宋体" w:cs="Times New Roman"/>
                <w:color w:val="auto"/>
                <w:sz w:val="24"/>
                <w:szCs w:val="24"/>
                <w:lang w:val="en-US" w:eastAsia="zh-CN"/>
              </w:rPr>
              <w:t>固废贮存</w:t>
            </w:r>
            <w:r>
              <w:rPr>
                <w:rFonts w:hint="default" w:ascii="Times New Roman" w:hAnsi="Times New Roman" w:eastAsia="宋体" w:cs="Times New Roman"/>
                <w:color w:val="auto"/>
                <w:sz w:val="24"/>
                <w:szCs w:val="24"/>
              </w:rPr>
              <w:t>停留时间，</w:t>
            </w:r>
            <w:r>
              <w:rPr>
                <w:rFonts w:hint="eastAsia" w:cs="Times New Roman"/>
                <w:color w:val="auto"/>
                <w:sz w:val="24"/>
                <w:szCs w:val="24"/>
                <w:highlight w:val="none"/>
                <w:lang w:val="en-US" w:eastAsia="zh-CN"/>
              </w:rPr>
              <w:t>可满足日常生产过程产生一般工业固废贮存需求。</w:t>
            </w:r>
          </w:p>
          <w:p w14:paraId="1081189E">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eastAsia="宋体" w:cs="宋体"/>
                <w:color w:val="auto"/>
                <w:kern w:val="0"/>
                <w:sz w:val="24"/>
                <w:highlight w:val="none"/>
                <w:lang w:val="en-US" w:eastAsia="zh-CN" w:bidi="ar"/>
              </w:rPr>
            </w:pPr>
            <w:r>
              <w:rPr>
                <w:color w:val="auto"/>
                <w:highlight w:val="none"/>
              </w:rPr>
              <w:t>依据《中华人民共和国固体废物污染环境防治法》等相关法律法规</w:t>
            </w:r>
            <w:r>
              <w:rPr>
                <w:rFonts w:hint="eastAsia"/>
                <w:color w:val="auto"/>
                <w:highlight w:val="none"/>
                <w:lang w:eastAsia="zh-CN"/>
              </w:rPr>
              <w:t>，</w:t>
            </w:r>
            <w:r>
              <w:rPr>
                <w:rFonts w:hint="eastAsia"/>
                <w:color w:val="auto"/>
                <w:highlight w:val="none"/>
                <w:lang w:val="en-US" w:eastAsia="zh-CN"/>
              </w:rPr>
              <w:t>本次评价对项目产生的一般工业固废提出以下</w:t>
            </w:r>
            <w:r>
              <w:rPr>
                <w:color w:val="auto"/>
                <w:highlight w:val="none"/>
              </w:rPr>
              <w:t>环保措施要求</w:t>
            </w:r>
            <w:r>
              <w:rPr>
                <w:rFonts w:hint="eastAsia"/>
                <w:color w:val="auto"/>
                <w:highlight w:val="none"/>
                <w:lang w:val="en-US" w:eastAsia="zh-CN"/>
              </w:rPr>
              <w:t>：</w:t>
            </w:r>
          </w:p>
          <w:p w14:paraId="3C28F0BA">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default"/>
                <w:color w:val="auto"/>
                <w:highlight w:val="none"/>
              </w:rPr>
            </w:pPr>
            <w:r>
              <w:rPr>
                <w:rFonts w:hint="default" w:cs="宋体"/>
                <w:color w:val="auto"/>
                <w:kern w:val="0"/>
                <w:sz w:val="24"/>
                <w:highlight w:val="none"/>
                <w:lang w:val="en-US" w:eastAsia="zh-CN" w:bidi="ar"/>
              </w:rPr>
              <w:t>①</w:t>
            </w:r>
            <w:r>
              <w:rPr>
                <w:color w:val="auto"/>
                <w:highlight w:val="none"/>
              </w:rPr>
              <w:t>源头控制</w:t>
            </w:r>
            <w:r>
              <w:rPr>
                <w:rFonts w:hint="default"/>
                <w:color w:val="auto"/>
                <w:highlight w:val="none"/>
              </w:rPr>
              <w:t>：</w:t>
            </w:r>
            <w:r>
              <w:rPr>
                <w:rFonts w:hint="eastAsia"/>
                <w:color w:val="auto"/>
                <w:highlight w:val="none"/>
                <w:lang w:val="en-US" w:eastAsia="zh-CN"/>
              </w:rPr>
              <w:t>项目生产过程中</w:t>
            </w:r>
            <w:r>
              <w:rPr>
                <w:color w:val="auto"/>
                <w:highlight w:val="none"/>
              </w:rPr>
              <w:t>注重资源化、减量化</w:t>
            </w:r>
            <w:r>
              <w:rPr>
                <w:rFonts w:hint="eastAsia"/>
                <w:color w:val="auto"/>
                <w:highlight w:val="none"/>
                <w:lang w:eastAsia="zh-CN"/>
              </w:rPr>
              <w:t>，</w:t>
            </w:r>
            <w:r>
              <w:rPr>
                <w:rFonts w:hint="default"/>
                <w:color w:val="auto"/>
                <w:highlight w:val="none"/>
              </w:rPr>
              <w:t>从源头减少工业固体废物的产生量。</w:t>
            </w:r>
          </w:p>
          <w:p w14:paraId="4FC4EE3C">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default" w:cs="宋体"/>
                <w:color w:val="auto"/>
                <w:kern w:val="0"/>
                <w:sz w:val="24"/>
                <w:highlight w:val="none"/>
                <w:lang w:val="en-US" w:eastAsia="zh-CN" w:bidi="ar"/>
              </w:rPr>
            </w:pPr>
            <w:r>
              <w:rPr>
                <w:rFonts w:hint="default" w:cs="宋体"/>
                <w:color w:val="auto"/>
                <w:kern w:val="0"/>
                <w:sz w:val="24"/>
                <w:highlight w:val="none"/>
                <w:lang w:val="en-US" w:eastAsia="zh-CN" w:bidi="ar"/>
              </w:rPr>
              <w:t>②</w:t>
            </w:r>
            <w:r>
              <w:rPr>
                <w:rFonts w:hint="default"/>
                <w:color w:val="auto"/>
                <w:highlight w:val="none"/>
              </w:rPr>
              <w:t>贮存管理：一般工业固体废物贮存设施应符合《一般工业固体废物贮存和填埋污染控制标准》（GB</w:t>
            </w:r>
            <w:r>
              <w:rPr>
                <w:rFonts w:hint="eastAsia"/>
                <w:color w:val="auto"/>
                <w:highlight w:val="none"/>
                <w:lang w:val="en-US" w:eastAsia="zh-CN"/>
              </w:rPr>
              <w:t xml:space="preserve"> </w:t>
            </w:r>
            <w:r>
              <w:rPr>
                <w:rFonts w:hint="default"/>
                <w:color w:val="auto"/>
                <w:highlight w:val="none"/>
              </w:rPr>
              <w:t>18599</w:t>
            </w:r>
            <w:r>
              <w:rPr>
                <w:rFonts w:hint="eastAsia"/>
                <w:color w:val="auto"/>
                <w:highlight w:val="none"/>
                <w:lang w:val="en-US" w:eastAsia="zh-CN"/>
              </w:rPr>
              <w:t>-2020</w:t>
            </w:r>
            <w:r>
              <w:rPr>
                <w:rFonts w:hint="default"/>
                <w:color w:val="auto"/>
                <w:highlight w:val="none"/>
              </w:rPr>
              <w:t>）要求，具备防渗漏、防雨淋、防扬散等功能，不应露天堆放</w:t>
            </w:r>
            <w:r>
              <w:rPr>
                <w:rFonts w:hint="eastAsia"/>
                <w:color w:val="auto"/>
                <w:highlight w:val="none"/>
                <w:lang w:eastAsia="zh-CN"/>
              </w:rPr>
              <w:t>；</w:t>
            </w:r>
            <w:r>
              <w:rPr>
                <w:rFonts w:hint="default"/>
                <w:color w:val="auto"/>
                <w:highlight w:val="none"/>
              </w:rPr>
              <w:t>对照《固体废物分类与代码目录》，将一般工业固体废物分类分区贮存，不得混入生活垃圾和危险废物。同时，</w:t>
            </w:r>
            <w:r>
              <w:rPr>
                <w:rFonts w:hint="default" w:cs="宋体"/>
                <w:color w:val="auto"/>
                <w:kern w:val="0"/>
                <w:sz w:val="24"/>
                <w:highlight w:val="none"/>
                <w:lang w:val="en-US" w:eastAsia="zh-CN" w:bidi="ar"/>
              </w:rPr>
              <w:t>应根据《环境保护图形标志-固体废物贮存（处置）场》</w:t>
            </w:r>
            <w:r>
              <w:rPr>
                <w:rFonts w:hint="eastAsia" w:cs="宋体"/>
                <w:color w:val="auto"/>
                <w:kern w:val="0"/>
                <w:sz w:val="24"/>
                <w:highlight w:val="none"/>
                <w:lang w:val="en-US" w:eastAsia="zh-CN" w:bidi="ar"/>
              </w:rPr>
              <w:t>（GB 15562.2）</w:t>
            </w:r>
            <w:r>
              <w:rPr>
                <w:rFonts w:hint="default" w:cs="宋体"/>
                <w:color w:val="auto"/>
                <w:kern w:val="0"/>
                <w:sz w:val="24"/>
                <w:highlight w:val="none"/>
                <w:lang w:val="en-US" w:eastAsia="zh-CN" w:bidi="ar"/>
              </w:rPr>
              <w:t>等文件要求对一般固废暂存区域设置规范化标志牌</w:t>
            </w:r>
            <w:r>
              <w:rPr>
                <w:rFonts w:hint="eastAsia" w:cs="宋体"/>
                <w:color w:val="auto"/>
                <w:kern w:val="0"/>
                <w:sz w:val="24"/>
                <w:highlight w:val="none"/>
                <w:lang w:val="en-US" w:eastAsia="zh-CN" w:bidi="ar"/>
              </w:rPr>
              <w:t>，</w:t>
            </w:r>
            <w:r>
              <w:rPr>
                <w:rFonts w:hint="default" w:cs="宋体"/>
                <w:color w:val="auto"/>
                <w:kern w:val="0"/>
                <w:sz w:val="24"/>
                <w:highlight w:val="none"/>
                <w:lang w:val="en-US" w:eastAsia="zh-CN" w:bidi="ar"/>
              </w:rPr>
              <w:t>并</w:t>
            </w:r>
            <w:r>
              <w:rPr>
                <w:rFonts w:hint="eastAsia" w:cs="宋体"/>
                <w:color w:val="auto"/>
                <w:kern w:val="0"/>
                <w:sz w:val="24"/>
                <w:highlight w:val="none"/>
                <w:lang w:val="en-US" w:eastAsia="zh-CN" w:bidi="ar"/>
              </w:rPr>
              <w:t>设专人进行日常管理，定期维护检查，及时修复或更换标志牌</w:t>
            </w:r>
            <w:r>
              <w:rPr>
                <w:rFonts w:hint="default" w:cs="宋体"/>
                <w:color w:val="auto"/>
                <w:kern w:val="0"/>
                <w:sz w:val="24"/>
                <w:highlight w:val="none"/>
                <w:lang w:val="en-US" w:eastAsia="zh-CN" w:bidi="ar"/>
              </w:rPr>
              <w:t>。</w:t>
            </w:r>
          </w:p>
          <w:p w14:paraId="1E1DF868">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0"/>
                <w:sz w:val="24"/>
                <w:highlight w:val="none"/>
                <w:lang w:val="en-US" w:eastAsia="zh-CN" w:bidi="ar"/>
              </w:rPr>
            </w:pPr>
            <w:r>
              <w:rPr>
                <w:rFonts w:hint="eastAsia" w:ascii="宋体" w:hAnsi="宋体" w:eastAsia="宋体" w:cs="宋体"/>
                <w:color w:val="auto"/>
                <w:kern w:val="0"/>
                <w:sz w:val="24"/>
                <w:highlight w:val="none"/>
                <w:lang w:val="en-US" w:eastAsia="zh-CN" w:bidi="ar"/>
              </w:rPr>
              <w:t>③</w:t>
            </w:r>
            <w:r>
              <w:rPr>
                <w:rFonts w:hint="default"/>
                <w:color w:val="auto"/>
                <w:highlight w:val="none"/>
              </w:rPr>
              <w:t>运输管理：产生工业固体废物的单位委托他人运输时，应核实受托方的主体资格和技术能力，依法签订书面合同，约定运输过程中的污染防治要求。</w:t>
            </w:r>
          </w:p>
          <w:p w14:paraId="312489DB">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eastAsia="宋体" w:cs="宋体"/>
                <w:color w:val="auto"/>
                <w:kern w:val="0"/>
                <w:sz w:val="24"/>
                <w:highlight w:val="none"/>
                <w:lang w:val="en-US" w:eastAsia="zh-CN" w:bidi="ar"/>
              </w:rPr>
            </w:pPr>
            <w:r>
              <w:rPr>
                <w:rFonts w:hint="eastAsia" w:ascii="宋体" w:hAnsi="宋体" w:eastAsia="宋体" w:cs="宋体"/>
                <w:color w:val="auto"/>
                <w:kern w:val="0"/>
                <w:szCs w:val="21"/>
                <w:lang w:val="en-US" w:eastAsia="zh-CN"/>
              </w:rPr>
              <w:t>④</w:t>
            </w:r>
            <w:r>
              <w:rPr>
                <w:rFonts w:hint="default"/>
                <w:color w:val="auto"/>
                <w:highlight w:val="none"/>
              </w:rPr>
              <w:t>台账管理：</w:t>
            </w:r>
            <w:r>
              <w:rPr>
                <w:rFonts w:hint="default" w:ascii="Times New Roman" w:hAnsi="Times New Roman" w:eastAsia="宋体" w:cs="宋体"/>
                <w:color w:val="auto"/>
                <w:kern w:val="0"/>
                <w:sz w:val="24"/>
                <w:highlight w:val="none"/>
                <w:lang w:val="en-US" w:eastAsia="zh-CN" w:bidi="ar"/>
              </w:rPr>
              <w:t>企业应根据《一般工业固体废物管理台账制定指南（试行）》要求，建立一般工业固体废物管理台账，如实记录工业固体废物的种类、数量、流向、贮存、利用、处置等信息。一般工业固体废物管理台账实施分级管理，产废单位应当设立专人负责台账的管理与归档，一般工业固体废物管理台账保存期限不少于5年。</w:t>
            </w:r>
          </w:p>
          <w:p w14:paraId="37B0FA1B">
            <w:pPr>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jc w:val="left"/>
              <w:textAlignment w:val="auto"/>
              <w:rPr>
                <w:rFonts w:hint="default" w:cs="宋体"/>
                <w:b/>
                <w:bCs/>
                <w:color w:val="auto"/>
                <w:kern w:val="0"/>
                <w:sz w:val="24"/>
                <w:highlight w:val="none"/>
                <w:lang w:val="en-US" w:eastAsia="zh-CN" w:bidi="ar"/>
              </w:rPr>
            </w:pPr>
            <w:r>
              <w:rPr>
                <w:rFonts w:hint="eastAsia" w:cs="Times New Roman"/>
                <w:b/>
                <w:bCs/>
                <w:color w:val="auto"/>
                <w:kern w:val="0"/>
                <w:sz w:val="24"/>
                <w:highlight w:val="none"/>
                <w:lang w:val="en-US" w:eastAsia="zh-CN" w:bidi="ar"/>
              </w:rPr>
              <w:t>（2）危险废物</w:t>
            </w:r>
            <w:r>
              <w:rPr>
                <w:rFonts w:hint="eastAsia" w:cs="宋体"/>
                <w:b/>
                <w:bCs/>
                <w:color w:val="auto"/>
                <w:kern w:val="0"/>
                <w:sz w:val="24"/>
                <w:highlight w:val="none"/>
                <w:lang w:val="en-US" w:eastAsia="zh-CN" w:bidi="ar"/>
              </w:rPr>
              <w:t>管理要求</w:t>
            </w:r>
          </w:p>
          <w:p w14:paraId="3380FA7A">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default"/>
                <w:color w:val="auto"/>
                <w:sz w:val="24"/>
                <w:szCs w:val="24"/>
                <w:lang w:val="en-US" w:eastAsia="zh-CN"/>
              </w:rPr>
            </w:pPr>
            <w:r>
              <w:rPr>
                <w:rFonts w:hint="eastAsia" w:cs="Times New Roman"/>
                <w:color w:val="auto"/>
                <w:sz w:val="24"/>
                <w:szCs w:val="24"/>
                <w:highlight w:val="none"/>
                <w:lang w:val="en-US" w:eastAsia="zh-CN"/>
              </w:rPr>
              <w:t>本项目检验过程产生的试验废液和设备维修产生的废机油、废油桶属于危险废物，环评要求</w:t>
            </w:r>
            <w:r>
              <w:rPr>
                <w:rFonts w:hint="eastAsia" w:ascii="Times New Roman" w:hAnsi="Times New Roman" w:eastAsia="宋体"/>
                <w:color w:val="auto"/>
                <w:highlight w:val="none"/>
                <w:lang w:val="en-US" w:eastAsia="zh-CN"/>
              </w:rPr>
              <w:t>项目建成后，</w:t>
            </w:r>
            <w:r>
              <w:rPr>
                <w:rFonts w:hint="eastAsia" w:cs="Times New Roman"/>
                <w:color w:val="auto"/>
                <w:sz w:val="24"/>
                <w:szCs w:val="24"/>
                <w:highlight w:val="none"/>
                <w:lang w:val="en-US" w:eastAsia="zh-CN"/>
              </w:rPr>
              <w:t>将废液和废机油采用密闭周转桶、防渗托盘，与废油桶产生后及时委托有资质单位转运处置，不得在厂内长期暂存。</w:t>
            </w:r>
            <w:r>
              <w:rPr>
                <w:rFonts w:hint="eastAsia"/>
                <w:color w:val="auto"/>
                <w:highlight w:val="none"/>
                <w:lang w:val="en-US" w:eastAsia="zh-CN"/>
              </w:rPr>
              <w:t>并</w:t>
            </w:r>
            <w:r>
              <w:rPr>
                <w:rFonts w:hint="eastAsia" w:ascii="Times New Roman" w:hAnsi="Times New Roman" w:eastAsia="宋体"/>
                <w:color w:val="auto"/>
                <w:highlight w:val="none"/>
                <w:lang w:val="en-US" w:eastAsia="zh-CN"/>
              </w:rPr>
              <w:t>设有专人专职负责危险废物的收集、</w:t>
            </w:r>
            <w:r>
              <w:rPr>
                <w:rFonts w:hint="eastAsia"/>
                <w:color w:val="auto"/>
                <w:highlight w:val="none"/>
                <w:lang w:val="en-US" w:eastAsia="zh-CN"/>
              </w:rPr>
              <w:t>转运</w:t>
            </w:r>
            <w:r>
              <w:rPr>
                <w:rFonts w:hint="eastAsia" w:ascii="Times New Roman" w:hAnsi="Times New Roman" w:eastAsia="宋体"/>
                <w:color w:val="auto"/>
                <w:highlight w:val="none"/>
                <w:lang w:val="en-US" w:eastAsia="zh-CN"/>
              </w:rPr>
              <w:t>，加强对危险废物的管理，保证得到及时处理，防止造成二次污染。</w:t>
            </w:r>
          </w:p>
          <w:p w14:paraId="14508E1C">
            <w:pPr>
              <w:pStyle w:val="6"/>
              <w:pageBreakBefore w:val="0"/>
              <w:widowControl w:val="0"/>
              <w:kinsoku/>
              <w:wordWrap/>
              <w:overflowPunct/>
              <w:topLinePunct w:val="0"/>
              <w:autoSpaceDE/>
              <w:autoSpaceDN/>
              <w:bidi w:val="0"/>
              <w:adjustRightInd w:val="0"/>
              <w:snapToGrid w:val="0"/>
              <w:spacing w:before="0" w:after="0" w:line="360" w:lineRule="auto"/>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4.6 地下水和土壤环境影响分析</w:t>
            </w:r>
          </w:p>
          <w:p w14:paraId="67F858C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auto"/>
                <w:sz w:val="24"/>
              </w:rPr>
            </w:pPr>
            <w:r>
              <w:rPr>
                <w:color w:val="auto"/>
                <w:sz w:val="24"/>
              </w:rPr>
              <w:t>根据项目原辅材料及工艺，</w:t>
            </w:r>
            <w:r>
              <w:rPr>
                <w:rFonts w:hint="eastAsia"/>
                <w:color w:val="auto"/>
                <w:sz w:val="24"/>
              </w:rPr>
              <w:t>项目不涉及重金属和持久性有机污染物</w:t>
            </w:r>
            <w:r>
              <w:rPr>
                <w:rFonts w:hint="eastAsia"/>
                <w:color w:val="auto"/>
                <w:sz w:val="24"/>
                <w:lang w:val="en-US" w:eastAsia="zh-CN"/>
              </w:rPr>
              <w:t>，</w:t>
            </w:r>
            <w:r>
              <w:rPr>
                <w:rFonts w:hint="eastAsia" w:ascii="Times New Roman" w:hAnsi="Times New Roman" w:eastAsia="宋体" w:cs="Times New Roman"/>
                <w:color w:val="auto"/>
                <w:sz w:val="24"/>
                <w:lang w:val="en-US" w:eastAsia="zh-CN"/>
              </w:rPr>
              <w:t>项目废水</w:t>
            </w:r>
            <w:r>
              <w:rPr>
                <w:rFonts w:ascii="Times New Roman" w:hAnsi="Times New Roman" w:eastAsia="宋体" w:cs="Times New Roman"/>
                <w:color w:val="auto"/>
                <w:sz w:val="24"/>
              </w:rPr>
              <w:t>泄漏可能会以垂直入渗的方式对周边土壤和地下水环境进行影响</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项目拟对项目进行分区防渗，按照相关规范采取分区防渗的措施，厂房租赁时车间、道路等防渗已建，</w:t>
            </w:r>
            <w:r>
              <w:rPr>
                <w:rFonts w:hint="eastAsia" w:ascii="Times New Roman" w:hAnsi="Times New Roman" w:eastAsia="宋体" w:cs="Times New Roman"/>
                <w:b w:val="0"/>
                <w:bCs w:val="0"/>
                <w:color w:val="auto"/>
                <w:sz w:val="24"/>
                <w:szCs w:val="24"/>
                <w:highlight w:val="none"/>
                <w:lang w:val="en-US" w:eastAsia="zh-CN"/>
              </w:rPr>
              <w:t>生产车间为一般防渗区，防渗措施为混凝土+环氧树脂防渗漆，</w:t>
            </w:r>
            <w:r>
              <w:rPr>
                <w:color w:val="auto"/>
                <w:sz w:val="24"/>
                <w:szCs w:val="24"/>
              </w:rPr>
              <w:t>Mb≥1.5m，渗透系数≤1.0×10</w:t>
            </w:r>
            <w:r>
              <w:rPr>
                <w:color w:val="auto"/>
                <w:sz w:val="24"/>
                <w:szCs w:val="24"/>
                <w:vertAlign w:val="superscript"/>
              </w:rPr>
              <w:t>-7</w:t>
            </w:r>
            <w:r>
              <w:rPr>
                <w:color w:val="auto"/>
                <w:sz w:val="24"/>
                <w:szCs w:val="24"/>
              </w:rPr>
              <w:t>cm/s</w:t>
            </w:r>
            <w:r>
              <w:rPr>
                <w:rFonts w:hint="eastAsia" w:ascii="Times New Roman" w:hAnsi="Times New Roman" w:eastAsia="宋体" w:cs="Times New Roman"/>
                <w:color w:val="auto"/>
                <w:sz w:val="24"/>
                <w:lang w:val="en-US" w:eastAsia="zh-CN"/>
              </w:rPr>
              <w:t>，道路为简单防渗区，采用地面硬化，根据现场调查，各防渗池完好无损，项目所有工序均在厂房内进行，发酵罐等设施均为密闭</w:t>
            </w:r>
            <w:r>
              <w:rPr>
                <w:rFonts w:hint="eastAsia" w:ascii="Times New Roman" w:hAnsi="Times New Roman" w:eastAsia="宋体" w:cs="Times New Roman"/>
                <w:b w:val="0"/>
                <w:bCs w:val="0"/>
                <w:color w:val="auto"/>
                <w:sz w:val="24"/>
                <w:lang w:val="en-US" w:eastAsia="zh-CN"/>
              </w:rPr>
              <w:t>不锈钢罐储，且均置于地上，泄露能及时发现，项目建成后加强监督和管理，项目营运期对周围地下水环境和土壤环境影响较小</w:t>
            </w:r>
            <w:r>
              <w:rPr>
                <w:rFonts w:ascii="Times New Roman" w:hAnsi="Times New Roman" w:eastAsia="宋体" w:cs="Times New Roman"/>
                <w:color w:val="auto"/>
                <w:sz w:val="24"/>
              </w:rPr>
              <w:t>。</w:t>
            </w:r>
          </w:p>
          <w:p w14:paraId="26F2D3F9">
            <w:pPr>
              <w:pStyle w:val="6"/>
              <w:pageBreakBefore w:val="0"/>
              <w:widowControl w:val="0"/>
              <w:kinsoku/>
              <w:wordWrap/>
              <w:overflowPunct/>
              <w:topLinePunct w:val="0"/>
              <w:autoSpaceDE/>
              <w:autoSpaceDN/>
              <w:bidi w:val="0"/>
              <w:adjustRightInd w:val="0"/>
              <w:snapToGrid w:val="0"/>
              <w:spacing w:before="0" w:after="0" w:line="360" w:lineRule="auto"/>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4.7 环境风险分析</w:t>
            </w:r>
          </w:p>
          <w:p w14:paraId="3D1CAA5A">
            <w:pPr>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color w:val="auto"/>
                <w:sz w:val="24"/>
                <w:szCs w:val="27"/>
                <w:lang w:val="en-US" w:eastAsia="zh-CN"/>
              </w:rPr>
            </w:pPr>
            <w:r>
              <w:rPr>
                <w:rFonts w:hint="eastAsia" w:ascii="Times New Roman" w:hAnsi="Times New Roman" w:eastAsia="宋体" w:cs="Times New Roman"/>
                <w:b/>
                <w:color w:val="auto"/>
                <w:sz w:val="24"/>
                <w:szCs w:val="27"/>
                <w:lang w:val="en-US" w:eastAsia="zh-CN"/>
              </w:rPr>
              <w:t>4.</w:t>
            </w:r>
            <w:r>
              <w:rPr>
                <w:rFonts w:hint="eastAsia" w:cs="Times New Roman"/>
                <w:b/>
                <w:color w:val="auto"/>
                <w:sz w:val="24"/>
                <w:szCs w:val="27"/>
                <w:lang w:val="en-US" w:eastAsia="zh-CN"/>
              </w:rPr>
              <w:t>7</w:t>
            </w:r>
            <w:r>
              <w:rPr>
                <w:rFonts w:hint="eastAsia" w:ascii="Times New Roman" w:hAnsi="Times New Roman" w:eastAsia="宋体" w:cs="Times New Roman"/>
                <w:b/>
                <w:color w:val="auto"/>
                <w:sz w:val="24"/>
                <w:szCs w:val="27"/>
                <w:lang w:val="en-US" w:eastAsia="zh-CN"/>
              </w:rPr>
              <w:t>.1 环境风险等级判定</w:t>
            </w:r>
          </w:p>
          <w:p w14:paraId="28ACE69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对照《建设项目环境风险评价技术导则》（HJ169-2018）附录B，</w:t>
            </w:r>
            <w:r>
              <w:rPr>
                <w:rFonts w:hint="eastAsia" w:cs="Times New Roman"/>
                <w:color w:val="auto"/>
                <w:kern w:val="0"/>
                <w:sz w:val="24"/>
                <w:szCs w:val="24"/>
                <w:highlight w:val="none"/>
                <w:lang w:val="en-US" w:eastAsia="zh-CN" w:bidi="ar"/>
              </w:rPr>
              <w:t>本次评价涉及</w:t>
            </w:r>
            <w:r>
              <w:rPr>
                <w:rFonts w:hint="default" w:ascii="Times New Roman" w:hAnsi="Times New Roman" w:eastAsia="宋体" w:cs="Times New Roman"/>
                <w:color w:val="auto"/>
                <w:kern w:val="0"/>
                <w:sz w:val="24"/>
                <w:szCs w:val="24"/>
                <w:highlight w:val="none"/>
                <w:lang w:val="en-US" w:eastAsia="zh-CN" w:bidi="ar"/>
              </w:rPr>
              <w:t>的环境风险物质主要为</w:t>
            </w:r>
            <w:r>
              <w:rPr>
                <w:rFonts w:hint="eastAsia" w:cs="Times New Roman"/>
                <w:color w:val="auto"/>
                <w:kern w:val="0"/>
                <w:sz w:val="24"/>
                <w:szCs w:val="24"/>
                <w:highlight w:val="none"/>
                <w:lang w:val="en-US" w:eastAsia="zh-CN" w:bidi="ar"/>
              </w:rPr>
              <w:t>山茱萸酒、</w:t>
            </w:r>
            <w:r>
              <w:rPr>
                <w:rFonts w:hint="eastAsia" w:cs="Times New Roman"/>
                <w:color w:val="FF0000"/>
                <w:kern w:val="0"/>
                <w:sz w:val="24"/>
                <w:szCs w:val="24"/>
                <w:highlight w:val="none"/>
                <w:lang w:val="en-US" w:eastAsia="zh-CN" w:bidi="ar"/>
              </w:rPr>
              <w:t>脱醇冷凝粗酒精液、试验废液、废机油</w:t>
            </w:r>
            <w:r>
              <w:rPr>
                <w:rFonts w:hint="eastAsia" w:cs="Times New Roman"/>
                <w:color w:val="auto"/>
                <w:kern w:val="0"/>
                <w:sz w:val="24"/>
                <w:szCs w:val="24"/>
                <w:highlight w:val="none"/>
                <w:lang w:val="en-US" w:eastAsia="zh-CN" w:bidi="ar"/>
              </w:rPr>
              <w:t>，</w:t>
            </w:r>
            <w:r>
              <w:rPr>
                <w:rFonts w:hint="eastAsia" w:cs="Times New Roman"/>
                <w:color w:val="FF0000"/>
                <w:kern w:val="0"/>
                <w:sz w:val="24"/>
                <w:szCs w:val="24"/>
                <w:highlight w:val="none"/>
                <w:lang w:val="en-US" w:eastAsia="zh-CN" w:bidi="ar"/>
              </w:rPr>
              <w:t>主要环境风险单元为成品库、生产车间。</w:t>
            </w:r>
            <w:r>
              <w:rPr>
                <w:rFonts w:hint="eastAsia" w:cs="Times New Roman"/>
                <w:color w:val="auto"/>
                <w:kern w:val="0"/>
                <w:sz w:val="24"/>
                <w:szCs w:val="24"/>
                <w:highlight w:val="none"/>
                <w:lang w:val="en-US" w:eastAsia="zh-CN" w:bidi="ar"/>
              </w:rPr>
              <w:t>本</w:t>
            </w:r>
            <w:r>
              <w:rPr>
                <w:rFonts w:hint="default" w:ascii="Times New Roman" w:hAnsi="Times New Roman" w:eastAsia="宋体" w:cs="Times New Roman"/>
                <w:color w:val="auto"/>
                <w:kern w:val="0"/>
                <w:sz w:val="24"/>
                <w:szCs w:val="24"/>
                <w:highlight w:val="none"/>
                <w:lang w:val="en-US" w:eastAsia="zh-CN" w:bidi="ar"/>
              </w:rPr>
              <w:t>项目</w:t>
            </w:r>
            <w:r>
              <w:rPr>
                <w:rFonts w:hint="eastAsia" w:ascii="Times New Roman" w:hAnsi="Times New Roman" w:cs="Times New Roman"/>
                <w:color w:val="auto"/>
                <w:kern w:val="0"/>
                <w:sz w:val="24"/>
                <w:szCs w:val="24"/>
                <w:highlight w:val="none"/>
                <w:lang w:val="en-US" w:eastAsia="zh-CN" w:bidi="ar"/>
              </w:rPr>
              <w:t>环境风险识别</w:t>
            </w:r>
            <w:r>
              <w:rPr>
                <w:rFonts w:hint="default" w:ascii="Times New Roman" w:hAnsi="Times New Roman" w:eastAsia="宋体" w:cs="Times New Roman"/>
                <w:color w:val="auto"/>
                <w:kern w:val="0"/>
                <w:sz w:val="24"/>
                <w:szCs w:val="24"/>
                <w:highlight w:val="none"/>
                <w:lang w:val="en-US" w:eastAsia="zh-CN" w:bidi="ar"/>
              </w:rPr>
              <w:t>详见</w:t>
            </w:r>
            <w:r>
              <w:rPr>
                <w:rFonts w:hint="eastAsia" w:ascii="Times New Roman" w:hAnsi="Times New Roman" w:eastAsia="宋体" w:cs="Times New Roman"/>
                <w:color w:val="auto"/>
                <w:kern w:val="0"/>
                <w:sz w:val="24"/>
                <w:szCs w:val="24"/>
                <w:highlight w:val="none"/>
                <w:lang w:val="en-US" w:eastAsia="zh-CN" w:bidi="ar"/>
              </w:rPr>
              <w:t>下</w:t>
            </w:r>
            <w:r>
              <w:rPr>
                <w:rFonts w:hint="default" w:ascii="Times New Roman" w:hAnsi="Times New Roman" w:eastAsia="宋体" w:cs="Times New Roman"/>
                <w:color w:val="auto"/>
                <w:kern w:val="0"/>
                <w:sz w:val="24"/>
                <w:szCs w:val="24"/>
                <w:highlight w:val="none"/>
                <w:lang w:val="en-US" w:eastAsia="zh-CN" w:bidi="ar"/>
              </w:rPr>
              <w:t>表</w:t>
            </w:r>
            <w:r>
              <w:rPr>
                <w:rFonts w:hint="eastAsia" w:cs="Times New Roman"/>
                <w:color w:val="auto"/>
                <w:kern w:val="0"/>
                <w:sz w:val="24"/>
                <w:szCs w:val="24"/>
                <w:highlight w:val="none"/>
                <w:lang w:val="en-US" w:eastAsia="zh-CN" w:bidi="ar"/>
              </w:rPr>
              <w:t>：</w:t>
            </w:r>
          </w:p>
          <w:p w14:paraId="3FAAEF4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根据《建设项目环境风险评价技术导则》（HJ169-2018）附录C.1.1计算所涉及的每种危险物质在厂界内的最大存在总量与其在附录B中对应临界量的比值Q，详见下表：</w:t>
            </w:r>
          </w:p>
          <w:p w14:paraId="2DF3F0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0"/>
                <w:sz w:val="21"/>
                <w:szCs w:val="21"/>
                <w:highlight w:val="none"/>
              </w:rPr>
            </w:pPr>
            <w:r>
              <w:rPr>
                <w:rFonts w:hint="eastAsia" w:ascii="Times New Roman" w:hAnsi="Times New Roman" w:eastAsia="宋体" w:cs="Times New Roman"/>
                <w:b/>
                <w:bCs/>
                <w:color w:val="auto"/>
                <w:kern w:val="0"/>
                <w:sz w:val="21"/>
                <w:szCs w:val="21"/>
                <w:highlight w:val="none"/>
              </w:rPr>
              <w:t>表4-</w:t>
            </w:r>
            <w:r>
              <w:rPr>
                <w:rFonts w:hint="eastAsia" w:cs="Times New Roman"/>
                <w:b/>
                <w:bCs/>
                <w:color w:val="auto"/>
                <w:kern w:val="0"/>
                <w:sz w:val="21"/>
                <w:szCs w:val="21"/>
                <w:highlight w:val="none"/>
                <w:lang w:val="en-US" w:eastAsia="zh-CN"/>
              </w:rPr>
              <w:t>11</w:t>
            </w:r>
            <w:r>
              <w:rPr>
                <w:rFonts w:hint="eastAsia" w:ascii="Times New Roman" w:hAnsi="Times New Roman" w:eastAsia="宋体" w:cs="Times New Roman"/>
                <w:b/>
                <w:bCs/>
                <w:color w:val="auto"/>
                <w:kern w:val="0"/>
                <w:sz w:val="21"/>
                <w:szCs w:val="21"/>
                <w:highlight w:val="none"/>
              </w:rPr>
              <w:t xml:space="preserve"> </w:t>
            </w:r>
            <w:r>
              <w:rPr>
                <w:rFonts w:hint="eastAsia" w:cs="Times New Roman"/>
                <w:b/>
                <w:bCs/>
                <w:color w:val="auto"/>
                <w:kern w:val="0"/>
                <w:sz w:val="21"/>
                <w:szCs w:val="21"/>
                <w:highlight w:val="none"/>
                <w:lang w:eastAsia="zh-CN"/>
              </w:rPr>
              <w:t>本</w:t>
            </w:r>
            <w:r>
              <w:rPr>
                <w:rFonts w:hint="eastAsia" w:ascii="Times New Roman" w:hAnsi="Times New Roman" w:eastAsia="宋体" w:cs="Times New Roman"/>
                <w:b/>
                <w:bCs/>
                <w:color w:val="auto"/>
                <w:kern w:val="0"/>
                <w:sz w:val="21"/>
                <w:szCs w:val="21"/>
                <w:highlight w:val="none"/>
              </w:rPr>
              <w:t>项目</w:t>
            </w:r>
            <w:r>
              <w:rPr>
                <w:rFonts w:hint="eastAsia" w:cs="Times New Roman"/>
                <w:b/>
                <w:bCs/>
                <w:color w:val="auto"/>
                <w:kern w:val="0"/>
                <w:sz w:val="21"/>
                <w:szCs w:val="21"/>
                <w:highlight w:val="none"/>
                <w:lang w:eastAsia="zh-CN"/>
              </w:rPr>
              <w:t>环境风险</w:t>
            </w:r>
            <w:r>
              <w:rPr>
                <w:rFonts w:hint="eastAsia" w:ascii="Times New Roman" w:hAnsi="Times New Roman" w:eastAsia="宋体" w:cs="Times New Roman"/>
                <w:b/>
                <w:bCs/>
                <w:color w:val="auto"/>
                <w:kern w:val="0"/>
                <w:sz w:val="21"/>
                <w:szCs w:val="21"/>
                <w:highlight w:val="none"/>
              </w:rPr>
              <w:t>物质数量与临界量比值一览表</w:t>
            </w:r>
          </w:p>
          <w:tbl>
            <w:tblPr>
              <w:tblStyle w:val="26"/>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1"/>
              <w:gridCol w:w="2044"/>
              <w:gridCol w:w="1321"/>
              <w:gridCol w:w="1137"/>
              <w:gridCol w:w="1699"/>
              <w:gridCol w:w="1227"/>
              <w:gridCol w:w="924"/>
            </w:tblGrid>
            <w:tr w14:paraId="062125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77" w:type="pct"/>
                  <w:tcBorders>
                    <w:tl2br w:val="nil"/>
                    <w:tr2bl w:val="nil"/>
                  </w:tcBorders>
                  <w:vAlign w:val="center"/>
                </w:tcPr>
                <w:p w14:paraId="27F51280">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1132" w:type="pct"/>
                  <w:tcBorders>
                    <w:tl2br w:val="nil"/>
                    <w:tr2bl w:val="nil"/>
                  </w:tcBorders>
                  <w:vAlign w:val="center"/>
                </w:tcPr>
                <w:p w14:paraId="718F9415">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名称</w:t>
                  </w:r>
                </w:p>
              </w:tc>
              <w:tc>
                <w:tcPr>
                  <w:tcW w:w="731" w:type="pct"/>
                  <w:tcBorders>
                    <w:tl2br w:val="nil"/>
                    <w:tr2bl w:val="nil"/>
                  </w:tcBorders>
                  <w:vAlign w:val="center"/>
                </w:tcPr>
                <w:p w14:paraId="77A60518">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位置</w:t>
                  </w:r>
                </w:p>
              </w:tc>
              <w:tc>
                <w:tcPr>
                  <w:tcW w:w="629" w:type="pct"/>
                  <w:tcBorders>
                    <w:tl2br w:val="nil"/>
                    <w:tr2bl w:val="nil"/>
                  </w:tcBorders>
                  <w:vAlign w:val="center"/>
                </w:tcPr>
                <w:p w14:paraId="384AFE30">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储存方式</w:t>
                  </w:r>
                </w:p>
              </w:tc>
              <w:tc>
                <w:tcPr>
                  <w:tcW w:w="940" w:type="pct"/>
                  <w:tcBorders>
                    <w:tl2br w:val="nil"/>
                    <w:tr2bl w:val="nil"/>
                  </w:tcBorders>
                  <w:vAlign w:val="center"/>
                </w:tcPr>
                <w:p w14:paraId="21F710E1">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最大存在量（t）</w:t>
                  </w:r>
                </w:p>
              </w:tc>
              <w:tc>
                <w:tcPr>
                  <w:tcW w:w="678" w:type="pct"/>
                  <w:tcBorders>
                    <w:tl2br w:val="nil"/>
                    <w:tr2bl w:val="nil"/>
                  </w:tcBorders>
                  <w:vAlign w:val="center"/>
                </w:tcPr>
                <w:p w14:paraId="75594D39">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临界量（t）</w:t>
                  </w:r>
                </w:p>
              </w:tc>
              <w:tc>
                <w:tcPr>
                  <w:tcW w:w="511" w:type="pct"/>
                  <w:tcBorders>
                    <w:tl2br w:val="nil"/>
                    <w:tr2bl w:val="nil"/>
                  </w:tcBorders>
                  <w:vAlign w:val="center"/>
                </w:tcPr>
                <w:p w14:paraId="43A2442B">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Q值</w:t>
                  </w:r>
                </w:p>
              </w:tc>
            </w:tr>
            <w:tr w14:paraId="041BD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7" w:type="pct"/>
                  <w:tcBorders>
                    <w:tl2br w:val="nil"/>
                    <w:tr2bl w:val="nil"/>
                  </w:tcBorders>
                  <w:vAlign w:val="center"/>
                </w:tcPr>
                <w:p w14:paraId="588D3FF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1132" w:type="pct"/>
                  <w:tcBorders>
                    <w:tl2br w:val="nil"/>
                    <w:tr2bl w:val="nil"/>
                  </w:tcBorders>
                  <w:vAlign w:val="center"/>
                </w:tcPr>
                <w:p w14:paraId="0E7B8135">
                  <w:pPr>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试验废液</w:t>
                  </w:r>
                </w:p>
              </w:tc>
              <w:tc>
                <w:tcPr>
                  <w:tcW w:w="731" w:type="pct"/>
                  <w:tcBorders>
                    <w:tl2br w:val="nil"/>
                    <w:tr2bl w:val="nil"/>
                  </w:tcBorders>
                  <w:vAlign w:val="center"/>
                </w:tcPr>
                <w:p w14:paraId="4659EAD2">
                  <w:pPr>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w:t>
                  </w:r>
                </w:p>
              </w:tc>
              <w:tc>
                <w:tcPr>
                  <w:tcW w:w="629" w:type="pct"/>
                  <w:tcBorders>
                    <w:tl2br w:val="nil"/>
                    <w:tr2bl w:val="nil"/>
                  </w:tcBorders>
                  <w:vAlign w:val="center"/>
                </w:tcPr>
                <w:p w14:paraId="57A0A3F6">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20kg/桶</w:t>
                  </w:r>
                </w:p>
              </w:tc>
              <w:tc>
                <w:tcPr>
                  <w:tcW w:w="940" w:type="pct"/>
                  <w:tcBorders>
                    <w:tl2br w:val="nil"/>
                    <w:tr2bl w:val="nil"/>
                  </w:tcBorders>
                  <w:vAlign w:val="center"/>
                </w:tcPr>
                <w:p w14:paraId="0D9B190C">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0.1</w:t>
                  </w:r>
                </w:p>
              </w:tc>
              <w:tc>
                <w:tcPr>
                  <w:tcW w:w="678" w:type="pct"/>
                  <w:tcBorders>
                    <w:tl2br w:val="nil"/>
                    <w:tr2bl w:val="nil"/>
                  </w:tcBorders>
                  <w:vAlign w:val="center"/>
                </w:tcPr>
                <w:p w14:paraId="578BC5B8">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w:t>
                  </w:r>
                </w:p>
              </w:tc>
              <w:tc>
                <w:tcPr>
                  <w:tcW w:w="511" w:type="pct"/>
                  <w:tcBorders>
                    <w:tl2br w:val="nil"/>
                    <w:tr2bl w:val="nil"/>
                  </w:tcBorders>
                  <w:vAlign w:val="center"/>
                </w:tcPr>
                <w:p w14:paraId="1D9EFF93">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0.002</w:t>
                  </w:r>
                </w:p>
              </w:tc>
            </w:tr>
            <w:tr w14:paraId="58BD24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7" w:type="pct"/>
                  <w:tcBorders>
                    <w:tl2br w:val="nil"/>
                    <w:tr2bl w:val="nil"/>
                  </w:tcBorders>
                  <w:vAlign w:val="center"/>
                </w:tcPr>
                <w:p w14:paraId="791B22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p>
              </w:tc>
              <w:tc>
                <w:tcPr>
                  <w:tcW w:w="1132" w:type="pct"/>
                  <w:tcBorders>
                    <w:tl2br w:val="nil"/>
                    <w:tr2bl w:val="nil"/>
                  </w:tcBorders>
                  <w:vAlign w:val="center"/>
                </w:tcPr>
                <w:p w14:paraId="6DFFE9FF">
                  <w:pPr>
                    <w:keepNext w:val="0"/>
                    <w:keepLines w:val="0"/>
                    <w:pageBreakBefore w:val="0"/>
                    <w:kinsoku/>
                    <w:wordWrap/>
                    <w:overflowPunct/>
                    <w:topLinePunct w:val="0"/>
                    <w:bidi w:val="0"/>
                    <w:spacing w:line="240" w:lineRule="auto"/>
                    <w:ind w:firstLine="0" w:firstLineChars="0"/>
                    <w:jc w:val="center"/>
                    <w:rPr>
                      <w:rFonts w:hint="eastAsia" w:cs="Times New Roman"/>
                      <w:color w:val="auto"/>
                      <w:sz w:val="21"/>
                      <w:szCs w:val="21"/>
                      <w:lang w:eastAsia="zh-CN"/>
                    </w:rPr>
                  </w:pPr>
                  <w:r>
                    <w:rPr>
                      <w:rFonts w:hint="eastAsia" w:cs="Times New Roman"/>
                      <w:color w:val="auto"/>
                      <w:sz w:val="21"/>
                      <w:szCs w:val="21"/>
                      <w:lang w:eastAsia="zh-CN"/>
                    </w:rPr>
                    <w:t>废机油</w:t>
                  </w:r>
                </w:p>
              </w:tc>
              <w:tc>
                <w:tcPr>
                  <w:tcW w:w="731" w:type="pct"/>
                  <w:tcBorders>
                    <w:tl2br w:val="nil"/>
                    <w:tr2bl w:val="nil"/>
                  </w:tcBorders>
                  <w:vAlign w:val="center"/>
                </w:tcPr>
                <w:p w14:paraId="3F55E847">
                  <w:pPr>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w:t>
                  </w:r>
                </w:p>
              </w:tc>
              <w:tc>
                <w:tcPr>
                  <w:tcW w:w="629" w:type="pct"/>
                  <w:tcBorders>
                    <w:tl2br w:val="nil"/>
                    <w:tr2bl w:val="nil"/>
                  </w:tcBorders>
                  <w:vAlign w:val="center"/>
                </w:tcPr>
                <w:p w14:paraId="63020809">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200L/桶</w:t>
                  </w:r>
                </w:p>
              </w:tc>
              <w:tc>
                <w:tcPr>
                  <w:tcW w:w="940" w:type="pct"/>
                  <w:tcBorders>
                    <w:tl2br w:val="nil"/>
                    <w:tr2bl w:val="nil"/>
                  </w:tcBorders>
                  <w:vAlign w:val="center"/>
                </w:tcPr>
                <w:p w14:paraId="55BC28F8">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0.01</w:t>
                  </w:r>
                </w:p>
              </w:tc>
              <w:tc>
                <w:tcPr>
                  <w:tcW w:w="678" w:type="pct"/>
                  <w:tcBorders>
                    <w:tl2br w:val="nil"/>
                    <w:tr2bl w:val="nil"/>
                  </w:tcBorders>
                  <w:vAlign w:val="center"/>
                </w:tcPr>
                <w:p w14:paraId="2B2008BC">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w:t>
                  </w:r>
                </w:p>
              </w:tc>
              <w:tc>
                <w:tcPr>
                  <w:tcW w:w="511" w:type="pct"/>
                  <w:tcBorders>
                    <w:tl2br w:val="nil"/>
                    <w:tr2bl w:val="nil"/>
                  </w:tcBorders>
                  <w:vAlign w:val="center"/>
                </w:tcPr>
                <w:p w14:paraId="30E89CA9">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0.0002</w:t>
                  </w:r>
                </w:p>
              </w:tc>
            </w:tr>
            <w:tr w14:paraId="3233BD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7" w:type="pct"/>
                  <w:tcBorders>
                    <w:tl2br w:val="nil"/>
                    <w:tr2bl w:val="nil"/>
                  </w:tcBorders>
                  <w:vAlign w:val="center"/>
                </w:tcPr>
                <w:p w14:paraId="1FB6EC2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w:t>
                  </w:r>
                </w:p>
              </w:tc>
              <w:tc>
                <w:tcPr>
                  <w:tcW w:w="1132" w:type="pct"/>
                  <w:tcBorders>
                    <w:tl2br w:val="nil"/>
                    <w:tr2bl w:val="nil"/>
                  </w:tcBorders>
                  <w:vAlign w:val="center"/>
                </w:tcPr>
                <w:p w14:paraId="03F0D9B1">
                  <w:pPr>
                    <w:keepNext w:val="0"/>
                    <w:keepLines w:val="0"/>
                    <w:pageBreakBefore w:val="0"/>
                    <w:kinsoku/>
                    <w:wordWrap/>
                    <w:overflowPunct/>
                    <w:topLinePunct w:val="0"/>
                    <w:bidi w:val="0"/>
                    <w:spacing w:line="240" w:lineRule="auto"/>
                    <w:ind w:firstLine="0" w:firstLineChars="0"/>
                    <w:jc w:val="center"/>
                    <w:rPr>
                      <w:rFonts w:hint="eastAsia" w:cs="Times New Roman"/>
                      <w:color w:val="FF0000"/>
                      <w:sz w:val="21"/>
                      <w:szCs w:val="21"/>
                      <w:lang w:eastAsia="zh-CN"/>
                    </w:rPr>
                  </w:pPr>
                  <w:r>
                    <w:rPr>
                      <w:rFonts w:hint="eastAsia" w:cs="Times New Roman"/>
                      <w:color w:val="FF0000"/>
                      <w:sz w:val="21"/>
                      <w:szCs w:val="21"/>
                      <w:lang w:eastAsia="zh-CN"/>
                    </w:rPr>
                    <w:t>山茱萸酒（</w:t>
                  </w:r>
                  <w:r>
                    <w:rPr>
                      <w:rFonts w:hint="eastAsia" w:ascii="Times New Roman" w:hAnsi="Times New Roman" w:eastAsia="宋体" w:cs="Times New Roman"/>
                      <w:i w:val="0"/>
                      <w:iCs w:val="0"/>
                      <w:color w:val="FF0000"/>
                      <w:kern w:val="0"/>
                      <w:sz w:val="21"/>
                      <w:szCs w:val="21"/>
                      <w:highlight w:val="none"/>
                      <w:u w:val="none"/>
                      <w:lang w:val="en-US" w:eastAsia="zh-CN" w:bidi="ar"/>
                    </w:rPr>
                    <w:t>12%Vol</w:t>
                  </w:r>
                  <w:r>
                    <w:rPr>
                      <w:rFonts w:hint="eastAsia" w:cs="Times New Roman"/>
                      <w:i w:val="0"/>
                      <w:iCs w:val="0"/>
                      <w:color w:val="FF0000"/>
                      <w:kern w:val="0"/>
                      <w:sz w:val="21"/>
                      <w:szCs w:val="21"/>
                      <w:highlight w:val="none"/>
                      <w:u w:val="none"/>
                      <w:lang w:val="en-US" w:eastAsia="zh-CN" w:bidi="ar"/>
                    </w:rPr>
                    <w:t>）</w:t>
                  </w:r>
                </w:p>
              </w:tc>
              <w:tc>
                <w:tcPr>
                  <w:tcW w:w="731" w:type="pct"/>
                  <w:tcBorders>
                    <w:tl2br w:val="nil"/>
                    <w:tr2bl w:val="nil"/>
                  </w:tcBorders>
                  <w:vAlign w:val="center"/>
                </w:tcPr>
                <w:p w14:paraId="09BFA225">
                  <w:pPr>
                    <w:keepNext w:val="0"/>
                    <w:keepLines w:val="0"/>
                    <w:pageBreakBefore w:val="0"/>
                    <w:kinsoku/>
                    <w:wordWrap/>
                    <w:overflowPunct/>
                    <w:topLinePunct w:val="0"/>
                    <w:bidi w:val="0"/>
                    <w:spacing w:line="240" w:lineRule="auto"/>
                    <w:ind w:firstLine="0" w:firstLineChars="0"/>
                    <w:jc w:val="center"/>
                    <w:rPr>
                      <w:rFonts w:hint="eastAsia" w:cs="Times New Roman"/>
                      <w:color w:val="FF0000"/>
                      <w:sz w:val="21"/>
                      <w:szCs w:val="21"/>
                      <w:lang w:eastAsia="zh-CN"/>
                    </w:rPr>
                  </w:pPr>
                  <w:r>
                    <w:rPr>
                      <w:rFonts w:hint="eastAsia" w:cs="Times New Roman"/>
                      <w:color w:val="FF0000"/>
                      <w:sz w:val="21"/>
                      <w:szCs w:val="21"/>
                      <w:lang w:eastAsia="zh-CN"/>
                    </w:rPr>
                    <w:t>成品库、生产车间</w:t>
                  </w:r>
                </w:p>
              </w:tc>
              <w:tc>
                <w:tcPr>
                  <w:tcW w:w="629" w:type="pct"/>
                  <w:tcBorders>
                    <w:tl2br w:val="nil"/>
                    <w:tr2bl w:val="nil"/>
                  </w:tcBorders>
                  <w:vAlign w:val="center"/>
                </w:tcPr>
                <w:p w14:paraId="16E29290">
                  <w:pPr>
                    <w:keepNext w:val="0"/>
                    <w:keepLines w:val="0"/>
                    <w:pageBreakBefore w:val="0"/>
                    <w:kinsoku/>
                    <w:wordWrap/>
                    <w:overflowPunct/>
                    <w:topLinePunct w:val="0"/>
                    <w:bidi w:val="0"/>
                    <w:spacing w:line="240" w:lineRule="auto"/>
                    <w:ind w:firstLine="0" w:firstLineChars="0"/>
                    <w:jc w:val="center"/>
                    <w:rPr>
                      <w:rFonts w:hint="eastAsia" w:cs="Times New Roman"/>
                      <w:color w:val="FF0000"/>
                      <w:sz w:val="21"/>
                      <w:szCs w:val="21"/>
                      <w:lang w:val="en-US" w:eastAsia="zh-CN"/>
                    </w:rPr>
                  </w:pPr>
                  <w:r>
                    <w:rPr>
                      <w:rFonts w:hint="eastAsia" w:ascii="Times New Roman" w:hAnsi="Times New Roman" w:eastAsia="宋体" w:cs="Times New Roman"/>
                      <w:i w:val="0"/>
                      <w:iCs w:val="0"/>
                      <w:color w:val="FF0000"/>
                      <w:kern w:val="0"/>
                      <w:sz w:val="21"/>
                      <w:szCs w:val="21"/>
                      <w:highlight w:val="none"/>
                      <w:u w:val="none"/>
                      <w:lang w:val="en-US" w:eastAsia="zh-CN" w:bidi="ar"/>
                    </w:rPr>
                    <w:t>750mL/瓶</w:t>
                  </w:r>
                </w:p>
              </w:tc>
              <w:tc>
                <w:tcPr>
                  <w:tcW w:w="940" w:type="pct"/>
                  <w:tcBorders>
                    <w:tl2br w:val="nil"/>
                    <w:tr2bl w:val="nil"/>
                  </w:tcBorders>
                  <w:vAlign w:val="center"/>
                </w:tcPr>
                <w:p w14:paraId="2E042673">
                  <w:pPr>
                    <w:keepNext w:val="0"/>
                    <w:keepLines w:val="0"/>
                    <w:pageBreakBefore w:val="0"/>
                    <w:kinsoku/>
                    <w:wordWrap/>
                    <w:overflowPunct/>
                    <w:topLinePunct w:val="0"/>
                    <w:bidi w:val="0"/>
                    <w:spacing w:line="240" w:lineRule="auto"/>
                    <w:ind w:firstLine="0" w:firstLineChars="0"/>
                    <w:jc w:val="center"/>
                    <w:rPr>
                      <w:rFonts w:hint="default" w:cs="Times New Roman"/>
                      <w:color w:val="FF0000"/>
                      <w:sz w:val="21"/>
                      <w:szCs w:val="21"/>
                      <w:lang w:val="en-US" w:eastAsia="zh-CN"/>
                    </w:rPr>
                  </w:pPr>
                  <w:r>
                    <w:rPr>
                      <w:rFonts w:hint="eastAsia" w:cs="Times New Roman"/>
                      <w:color w:val="FF0000"/>
                      <w:sz w:val="21"/>
                      <w:szCs w:val="21"/>
                      <w:lang w:val="en-US" w:eastAsia="zh-CN"/>
                    </w:rPr>
                    <w:t>10</w:t>
                  </w:r>
                </w:p>
              </w:tc>
              <w:tc>
                <w:tcPr>
                  <w:tcW w:w="678" w:type="pct"/>
                  <w:tcBorders>
                    <w:tl2br w:val="nil"/>
                    <w:tr2bl w:val="nil"/>
                  </w:tcBorders>
                  <w:vAlign w:val="center"/>
                </w:tcPr>
                <w:p w14:paraId="2DAB4B2F">
                  <w:pPr>
                    <w:keepNext w:val="0"/>
                    <w:keepLines w:val="0"/>
                    <w:pageBreakBefore w:val="0"/>
                    <w:kinsoku/>
                    <w:wordWrap/>
                    <w:overflowPunct/>
                    <w:topLinePunct w:val="0"/>
                    <w:bidi w:val="0"/>
                    <w:spacing w:line="240" w:lineRule="auto"/>
                    <w:ind w:firstLine="0" w:firstLineChars="0"/>
                    <w:jc w:val="center"/>
                    <w:rPr>
                      <w:rFonts w:hint="default" w:cs="Times New Roman"/>
                      <w:color w:val="FF0000"/>
                      <w:sz w:val="21"/>
                      <w:szCs w:val="21"/>
                      <w:lang w:val="en-US" w:eastAsia="zh-CN"/>
                    </w:rPr>
                  </w:pPr>
                  <w:r>
                    <w:rPr>
                      <w:rFonts w:hint="eastAsia" w:cs="Times New Roman"/>
                      <w:color w:val="FF0000"/>
                      <w:sz w:val="21"/>
                      <w:szCs w:val="21"/>
                      <w:lang w:val="en-US" w:eastAsia="zh-CN"/>
                    </w:rPr>
                    <w:t>500</w:t>
                  </w:r>
                </w:p>
              </w:tc>
              <w:tc>
                <w:tcPr>
                  <w:tcW w:w="511" w:type="pct"/>
                  <w:tcBorders>
                    <w:tl2br w:val="nil"/>
                    <w:tr2bl w:val="nil"/>
                  </w:tcBorders>
                  <w:vAlign w:val="center"/>
                </w:tcPr>
                <w:p w14:paraId="674DABAC">
                  <w:pPr>
                    <w:keepNext w:val="0"/>
                    <w:keepLines w:val="0"/>
                    <w:pageBreakBefore w:val="0"/>
                    <w:kinsoku/>
                    <w:wordWrap/>
                    <w:overflowPunct/>
                    <w:topLinePunct w:val="0"/>
                    <w:bidi w:val="0"/>
                    <w:spacing w:line="240" w:lineRule="auto"/>
                    <w:ind w:firstLine="0" w:firstLineChars="0"/>
                    <w:jc w:val="center"/>
                    <w:rPr>
                      <w:rFonts w:hint="default" w:cs="Times New Roman"/>
                      <w:color w:val="FF0000"/>
                      <w:sz w:val="21"/>
                      <w:szCs w:val="21"/>
                      <w:lang w:val="en-US" w:eastAsia="zh-CN"/>
                    </w:rPr>
                  </w:pPr>
                  <w:r>
                    <w:rPr>
                      <w:rFonts w:hint="eastAsia" w:cs="Times New Roman"/>
                      <w:color w:val="FF0000"/>
                      <w:sz w:val="21"/>
                      <w:szCs w:val="21"/>
                      <w:lang w:val="en-US" w:eastAsia="zh-CN"/>
                    </w:rPr>
                    <w:t>0.02</w:t>
                  </w:r>
                </w:p>
              </w:tc>
            </w:tr>
            <w:tr w14:paraId="0DD8E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7" w:type="pct"/>
                  <w:tcBorders>
                    <w:tl2br w:val="nil"/>
                    <w:tr2bl w:val="nil"/>
                  </w:tcBorders>
                  <w:vAlign w:val="center"/>
                </w:tcPr>
                <w:p w14:paraId="2C7BA1B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4</w:t>
                  </w:r>
                </w:p>
              </w:tc>
              <w:tc>
                <w:tcPr>
                  <w:tcW w:w="1132" w:type="pct"/>
                  <w:tcBorders>
                    <w:tl2br w:val="nil"/>
                    <w:tr2bl w:val="nil"/>
                  </w:tcBorders>
                  <w:vAlign w:val="center"/>
                </w:tcPr>
                <w:p w14:paraId="4E4BA0C6">
                  <w:pPr>
                    <w:keepNext w:val="0"/>
                    <w:keepLines w:val="0"/>
                    <w:pageBreakBefore w:val="0"/>
                    <w:kinsoku/>
                    <w:wordWrap/>
                    <w:overflowPunct/>
                    <w:topLinePunct w:val="0"/>
                    <w:bidi w:val="0"/>
                    <w:spacing w:line="240" w:lineRule="auto"/>
                    <w:ind w:firstLine="0" w:firstLineChars="0"/>
                    <w:jc w:val="center"/>
                    <w:rPr>
                      <w:rFonts w:hint="eastAsia" w:cs="Times New Roman"/>
                      <w:color w:val="FF0000"/>
                      <w:sz w:val="21"/>
                      <w:szCs w:val="21"/>
                      <w:lang w:eastAsia="zh-CN"/>
                    </w:rPr>
                  </w:pPr>
                  <w:r>
                    <w:rPr>
                      <w:rFonts w:hint="eastAsia" w:cs="Times New Roman"/>
                      <w:color w:val="FF0000"/>
                      <w:sz w:val="21"/>
                      <w:szCs w:val="21"/>
                      <w:lang w:val="en-US" w:eastAsia="zh-CN"/>
                    </w:rPr>
                    <w:t>脱醇冷凝粗酒精液</w:t>
                  </w:r>
                </w:p>
              </w:tc>
              <w:tc>
                <w:tcPr>
                  <w:tcW w:w="731" w:type="pct"/>
                  <w:tcBorders>
                    <w:tl2br w:val="nil"/>
                    <w:tr2bl w:val="nil"/>
                  </w:tcBorders>
                  <w:vAlign w:val="center"/>
                </w:tcPr>
                <w:p w14:paraId="3A4B1DE0">
                  <w:pPr>
                    <w:keepNext w:val="0"/>
                    <w:keepLines w:val="0"/>
                    <w:pageBreakBefore w:val="0"/>
                    <w:kinsoku/>
                    <w:wordWrap/>
                    <w:overflowPunct/>
                    <w:topLinePunct w:val="0"/>
                    <w:bidi w:val="0"/>
                    <w:spacing w:line="240" w:lineRule="auto"/>
                    <w:ind w:firstLine="0" w:firstLineChars="0"/>
                    <w:jc w:val="center"/>
                    <w:rPr>
                      <w:rFonts w:hint="eastAsia" w:cs="Times New Roman"/>
                      <w:color w:val="FF0000"/>
                      <w:sz w:val="21"/>
                      <w:szCs w:val="21"/>
                      <w:lang w:eastAsia="zh-CN"/>
                    </w:rPr>
                  </w:pPr>
                  <w:r>
                    <w:rPr>
                      <w:rFonts w:hint="eastAsia" w:cs="Times New Roman"/>
                      <w:color w:val="FF0000"/>
                      <w:sz w:val="21"/>
                      <w:szCs w:val="21"/>
                      <w:lang w:eastAsia="zh-CN"/>
                    </w:rPr>
                    <w:t>成品库</w:t>
                  </w:r>
                </w:p>
              </w:tc>
              <w:tc>
                <w:tcPr>
                  <w:tcW w:w="629" w:type="pct"/>
                  <w:tcBorders>
                    <w:tl2br w:val="nil"/>
                    <w:tr2bl w:val="nil"/>
                  </w:tcBorders>
                  <w:vAlign w:val="center"/>
                </w:tcPr>
                <w:p w14:paraId="222C72BD">
                  <w:pPr>
                    <w:keepNext w:val="0"/>
                    <w:keepLines w:val="0"/>
                    <w:pageBreakBefore w:val="0"/>
                    <w:kinsoku/>
                    <w:wordWrap/>
                    <w:overflowPunct/>
                    <w:topLinePunct w:val="0"/>
                    <w:bidi w:val="0"/>
                    <w:spacing w:line="240" w:lineRule="auto"/>
                    <w:ind w:firstLine="0" w:firstLineChars="0"/>
                    <w:jc w:val="center"/>
                    <w:rPr>
                      <w:rFonts w:hint="default" w:cs="Times New Roman"/>
                      <w:color w:val="FF0000"/>
                      <w:sz w:val="21"/>
                      <w:szCs w:val="21"/>
                      <w:lang w:val="en-US" w:eastAsia="zh-CN"/>
                    </w:rPr>
                  </w:pPr>
                  <w:r>
                    <w:rPr>
                      <w:rFonts w:hint="eastAsia" w:cs="Times New Roman"/>
                      <w:color w:val="FF0000"/>
                      <w:sz w:val="21"/>
                      <w:szCs w:val="21"/>
                      <w:lang w:val="en-US" w:eastAsia="zh-CN"/>
                    </w:rPr>
                    <w:t>/</w:t>
                  </w:r>
                </w:p>
              </w:tc>
              <w:tc>
                <w:tcPr>
                  <w:tcW w:w="940" w:type="pct"/>
                  <w:tcBorders>
                    <w:tl2br w:val="nil"/>
                    <w:tr2bl w:val="nil"/>
                  </w:tcBorders>
                  <w:vAlign w:val="center"/>
                </w:tcPr>
                <w:p w14:paraId="37750A59">
                  <w:pPr>
                    <w:keepNext w:val="0"/>
                    <w:keepLines w:val="0"/>
                    <w:pageBreakBefore w:val="0"/>
                    <w:kinsoku/>
                    <w:wordWrap/>
                    <w:overflowPunct/>
                    <w:topLinePunct w:val="0"/>
                    <w:bidi w:val="0"/>
                    <w:spacing w:line="240" w:lineRule="auto"/>
                    <w:ind w:firstLine="0" w:firstLineChars="0"/>
                    <w:jc w:val="center"/>
                    <w:rPr>
                      <w:rFonts w:hint="default" w:cs="Times New Roman"/>
                      <w:color w:val="FF0000"/>
                      <w:sz w:val="21"/>
                      <w:szCs w:val="21"/>
                      <w:lang w:val="en-US" w:eastAsia="zh-CN"/>
                    </w:rPr>
                  </w:pPr>
                  <w:r>
                    <w:rPr>
                      <w:rFonts w:hint="eastAsia" w:cs="Times New Roman"/>
                      <w:color w:val="FF0000"/>
                      <w:sz w:val="21"/>
                      <w:szCs w:val="21"/>
                      <w:lang w:val="en-US" w:eastAsia="zh-CN"/>
                    </w:rPr>
                    <w:t>2</w:t>
                  </w:r>
                </w:p>
              </w:tc>
              <w:tc>
                <w:tcPr>
                  <w:tcW w:w="678" w:type="pct"/>
                  <w:tcBorders>
                    <w:tl2br w:val="nil"/>
                    <w:tr2bl w:val="nil"/>
                  </w:tcBorders>
                  <w:vAlign w:val="center"/>
                </w:tcPr>
                <w:p w14:paraId="044DA323">
                  <w:pPr>
                    <w:keepNext w:val="0"/>
                    <w:keepLines w:val="0"/>
                    <w:pageBreakBefore w:val="0"/>
                    <w:kinsoku/>
                    <w:wordWrap/>
                    <w:overflowPunct/>
                    <w:topLinePunct w:val="0"/>
                    <w:bidi w:val="0"/>
                    <w:spacing w:line="240" w:lineRule="auto"/>
                    <w:ind w:firstLine="0" w:firstLineChars="0"/>
                    <w:jc w:val="center"/>
                    <w:rPr>
                      <w:rFonts w:hint="default" w:cs="Times New Roman"/>
                      <w:color w:val="FF0000"/>
                      <w:sz w:val="21"/>
                      <w:szCs w:val="21"/>
                      <w:lang w:val="en-US" w:eastAsia="zh-CN"/>
                    </w:rPr>
                  </w:pPr>
                  <w:r>
                    <w:rPr>
                      <w:rFonts w:hint="eastAsia" w:cs="Times New Roman"/>
                      <w:color w:val="FF0000"/>
                      <w:sz w:val="21"/>
                      <w:szCs w:val="21"/>
                      <w:lang w:val="en-US" w:eastAsia="zh-CN"/>
                    </w:rPr>
                    <w:t>500</w:t>
                  </w:r>
                </w:p>
              </w:tc>
              <w:tc>
                <w:tcPr>
                  <w:tcW w:w="511" w:type="pct"/>
                  <w:tcBorders>
                    <w:tl2br w:val="nil"/>
                    <w:tr2bl w:val="nil"/>
                  </w:tcBorders>
                  <w:vAlign w:val="center"/>
                </w:tcPr>
                <w:p w14:paraId="369CA50B">
                  <w:pPr>
                    <w:keepNext w:val="0"/>
                    <w:keepLines w:val="0"/>
                    <w:pageBreakBefore w:val="0"/>
                    <w:kinsoku/>
                    <w:wordWrap/>
                    <w:overflowPunct/>
                    <w:topLinePunct w:val="0"/>
                    <w:bidi w:val="0"/>
                    <w:spacing w:line="240" w:lineRule="auto"/>
                    <w:ind w:firstLine="0" w:firstLineChars="0"/>
                    <w:jc w:val="center"/>
                    <w:rPr>
                      <w:rFonts w:hint="default" w:cs="Times New Roman"/>
                      <w:color w:val="FF0000"/>
                      <w:sz w:val="21"/>
                      <w:szCs w:val="21"/>
                      <w:lang w:val="en-US" w:eastAsia="zh-CN"/>
                    </w:rPr>
                  </w:pPr>
                  <w:r>
                    <w:rPr>
                      <w:rFonts w:hint="eastAsia" w:cs="Times New Roman"/>
                      <w:color w:val="FF0000"/>
                      <w:sz w:val="21"/>
                      <w:szCs w:val="21"/>
                      <w:lang w:val="en-US" w:eastAsia="zh-CN"/>
                    </w:rPr>
                    <w:t>0.004</w:t>
                  </w:r>
                </w:p>
              </w:tc>
            </w:tr>
            <w:tr w14:paraId="771ED3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488" w:type="pct"/>
                  <w:gridSpan w:val="6"/>
                  <w:tcBorders>
                    <w:tl2br w:val="nil"/>
                    <w:tr2bl w:val="nil"/>
                  </w:tcBorders>
                  <w:vAlign w:val="center"/>
                </w:tcPr>
                <w:p w14:paraId="7DE94A60">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合计</w:t>
                  </w:r>
                </w:p>
              </w:tc>
              <w:tc>
                <w:tcPr>
                  <w:tcW w:w="511" w:type="pct"/>
                  <w:tcBorders>
                    <w:tl2br w:val="nil"/>
                    <w:tr2bl w:val="nil"/>
                  </w:tcBorders>
                  <w:shd w:val="clear" w:color="auto" w:fill="auto"/>
                  <w:vAlign w:val="center"/>
                </w:tcPr>
                <w:p w14:paraId="049902C1">
                  <w:pPr>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0.0262</w:t>
                  </w:r>
                </w:p>
              </w:tc>
            </w:tr>
          </w:tbl>
          <w:p w14:paraId="2B268D1F">
            <w:pPr>
              <w:widowControl/>
              <w:spacing w:line="360" w:lineRule="auto"/>
              <w:ind w:firstLine="480" w:firstLineChars="200"/>
              <w:jc w:val="left"/>
              <w:rPr>
                <w:color w:val="auto"/>
                <w:sz w:val="24"/>
              </w:rPr>
            </w:pPr>
            <w:r>
              <w:rPr>
                <w:rFonts w:hint="eastAsia"/>
                <w:color w:val="auto"/>
                <w:sz w:val="24"/>
              </w:rPr>
              <w:t>由</w:t>
            </w:r>
            <w:r>
              <w:rPr>
                <w:rFonts w:hint="eastAsia"/>
                <w:color w:val="auto"/>
                <w:sz w:val="24"/>
                <w:lang w:eastAsia="zh-CN"/>
              </w:rPr>
              <w:t>上</w:t>
            </w:r>
            <w:r>
              <w:rPr>
                <w:rFonts w:hint="eastAsia"/>
                <w:color w:val="auto"/>
                <w:sz w:val="24"/>
              </w:rPr>
              <w:t>表</w:t>
            </w:r>
            <w:r>
              <w:rPr>
                <w:color w:val="auto"/>
                <w:sz w:val="24"/>
              </w:rPr>
              <w:t>可知，</w:t>
            </w:r>
            <w:r>
              <w:rPr>
                <w:rFonts w:hint="eastAsia"/>
                <w:color w:val="auto"/>
                <w:sz w:val="24"/>
                <w:lang w:eastAsia="zh-CN"/>
              </w:rPr>
              <w:t>本</w:t>
            </w:r>
            <w:r>
              <w:rPr>
                <w:color w:val="auto"/>
                <w:sz w:val="24"/>
              </w:rPr>
              <w:t>项目</w:t>
            </w:r>
            <w:r>
              <w:rPr>
                <w:rFonts w:hint="eastAsia"/>
                <w:color w:val="auto"/>
                <w:sz w:val="24"/>
                <w:lang w:eastAsia="zh-CN"/>
              </w:rPr>
              <w:t>环境风险物</w:t>
            </w:r>
            <w:r>
              <w:rPr>
                <w:rFonts w:hint="eastAsia"/>
                <w:color w:val="FF0000"/>
                <w:sz w:val="24"/>
                <w:lang w:eastAsia="zh-CN"/>
              </w:rPr>
              <w:t>质</w:t>
            </w:r>
            <w:r>
              <w:rPr>
                <w:color w:val="FF0000"/>
                <w:sz w:val="24"/>
              </w:rPr>
              <w:t>Q=</w:t>
            </w:r>
            <w:r>
              <w:rPr>
                <w:rFonts w:hint="eastAsia"/>
                <w:color w:val="FF0000"/>
                <w:sz w:val="24"/>
                <w:lang w:val="en-US" w:eastAsia="zh-CN"/>
              </w:rPr>
              <w:t>0.0262</w:t>
            </w:r>
            <w:r>
              <w:rPr>
                <w:color w:val="FF0000"/>
                <w:sz w:val="24"/>
              </w:rPr>
              <w:t>&lt;1</w:t>
            </w:r>
            <w:r>
              <w:rPr>
                <w:rFonts w:hint="eastAsia"/>
                <w:color w:val="FF0000"/>
                <w:sz w:val="24"/>
              </w:rPr>
              <w:t>，</w:t>
            </w:r>
            <w:r>
              <w:rPr>
                <w:rFonts w:hint="eastAsia"/>
                <w:color w:val="auto"/>
                <w:sz w:val="24"/>
              </w:rPr>
              <w:t>则</w:t>
            </w:r>
            <w:r>
              <w:rPr>
                <w:rFonts w:hint="eastAsia"/>
                <w:color w:val="auto"/>
                <w:sz w:val="24"/>
                <w:lang w:eastAsia="zh-CN"/>
              </w:rPr>
              <w:t>本</w:t>
            </w:r>
            <w:r>
              <w:rPr>
                <w:color w:val="auto"/>
                <w:sz w:val="24"/>
              </w:rPr>
              <w:t>项目环境风险潜势为I。根据《建设项目环境风险评价技术导则》（HJ</w:t>
            </w:r>
            <w:r>
              <w:rPr>
                <w:rFonts w:hint="eastAsia"/>
                <w:color w:val="auto"/>
                <w:sz w:val="24"/>
                <w:lang w:val="en-US" w:eastAsia="zh-CN"/>
              </w:rPr>
              <w:t xml:space="preserve"> </w:t>
            </w:r>
            <w:r>
              <w:rPr>
                <w:color w:val="auto"/>
                <w:sz w:val="24"/>
              </w:rPr>
              <w:t>169-2018）</w:t>
            </w:r>
            <w:r>
              <w:rPr>
                <w:rFonts w:hint="eastAsia"/>
                <w:color w:val="auto"/>
                <w:sz w:val="24"/>
              </w:rPr>
              <w:t>环境风险评价工作等级划分</w:t>
            </w:r>
            <w:r>
              <w:rPr>
                <w:color w:val="auto"/>
                <w:sz w:val="24"/>
              </w:rPr>
              <w:t>，</w:t>
            </w:r>
            <w:r>
              <w:rPr>
                <w:rFonts w:hint="eastAsia"/>
                <w:color w:val="auto"/>
                <w:sz w:val="24"/>
              </w:rPr>
              <w:t>本项目的</w:t>
            </w:r>
            <w:r>
              <w:rPr>
                <w:color w:val="auto"/>
                <w:sz w:val="24"/>
              </w:rPr>
              <w:t>评价工作等级为简单分析</w:t>
            </w:r>
            <w:r>
              <w:rPr>
                <w:rFonts w:hint="eastAsia"/>
                <w:color w:val="auto"/>
                <w:sz w:val="24"/>
              </w:rPr>
              <w:t>，定性描述说明危险物质、环境影响途径、环境危害后果、风险防范措施等方面。</w:t>
            </w:r>
          </w:p>
          <w:p w14:paraId="3C22E45C">
            <w:pPr>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color w:val="auto"/>
                <w:sz w:val="24"/>
                <w:szCs w:val="27"/>
                <w:lang w:val="en-US" w:eastAsia="zh-CN"/>
              </w:rPr>
            </w:pPr>
            <w:r>
              <w:rPr>
                <w:rFonts w:hint="eastAsia" w:ascii="Times New Roman" w:hAnsi="Times New Roman" w:eastAsia="宋体" w:cs="Times New Roman"/>
                <w:b/>
                <w:color w:val="auto"/>
                <w:sz w:val="24"/>
                <w:szCs w:val="27"/>
                <w:lang w:val="en-US" w:eastAsia="zh-CN"/>
              </w:rPr>
              <w:t>4.</w:t>
            </w:r>
            <w:r>
              <w:rPr>
                <w:rFonts w:hint="eastAsia" w:cs="Times New Roman"/>
                <w:b/>
                <w:color w:val="auto"/>
                <w:sz w:val="24"/>
                <w:szCs w:val="27"/>
                <w:lang w:val="en-US" w:eastAsia="zh-CN"/>
              </w:rPr>
              <w:t>7</w:t>
            </w:r>
            <w:r>
              <w:rPr>
                <w:rFonts w:hint="eastAsia" w:ascii="Times New Roman" w:hAnsi="Times New Roman" w:eastAsia="宋体" w:cs="Times New Roman"/>
                <w:b/>
                <w:color w:val="auto"/>
                <w:sz w:val="24"/>
                <w:szCs w:val="27"/>
                <w:lang w:val="en-US" w:eastAsia="zh-CN"/>
              </w:rPr>
              <w:t>.2 环境风险分析</w:t>
            </w:r>
          </w:p>
          <w:p w14:paraId="62ADB47C">
            <w:pPr>
              <w:spacing w:line="360" w:lineRule="auto"/>
              <w:ind w:firstLine="480" w:firstLineChars="200"/>
              <w:rPr>
                <w:color w:val="auto"/>
                <w:sz w:val="24"/>
              </w:rPr>
            </w:pPr>
            <w:r>
              <w:rPr>
                <w:rFonts w:hint="eastAsia" w:cs="Times New Roman"/>
                <w:color w:val="auto"/>
                <w:kern w:val="0"/>
                <w:sz w:val="24"/>
                <w:szCs w:val="24"/>
                <w:highlight w:val="none"/>
                <w:lang w:val="en-US" w:eastAsia="zh-CN" w:bidi="ar"/>
              </w:rPr>
              <w:t>本次项目涉及</w:t>
            </w:r>
            <w:r>
              <w:rPr>
                <w:rFonts w:hint="default" w:ascii="Times New Roman" w:hAnsi="Times New Roman" w:eastAsia="宋体" w:cs="Times New Roman"/>
                <w:color w:val="auto"/>
                <w:kern w:val="0"/>
                <w:sz w:val="24"/>
                <w:szCs w:val="24"/>
                <w:highlight w:val="none"/>
                <w:lang w:val="en-US" w:eastAsia="zh-CN" w:bidi="ar"/>
              </w:rPr>
              <w:t>的环境风险物质主要为</w:t>
            </w:r>
            <w:r>
              <w:rPr>
                <w:rFonts w:hint="eastAsia" w:cs="Times New Roman"/>
                <w:color w:val="FF0000"/>
                <w:kern w:val="0"/>
                <w:sz w:val="24"/>
                <w:szCs w:val="24"/>
                <w:highlight w:val="none"/>
                <w:lang w:val="en-US" w:eastAsia="zh-CN" w:bidi="ar"/>
              </w:rPr>
              <w:t>脱醇冷凝粗酒精液、</w:t>
            </w:r>
            <w:r>
              <w:rPr>
                <w:rFonts w:hint="eastAsia" w:cs="Times New Roman"/>
                <w:color w:val="auto"/>
                <w:kern w:val="0"/>
                <w:sz w:val="24"/>
                <w:szCs w:val="24"/>
                <w:highlight w:val="none"/>
                <w:lang w:val="en-US" w:eastAsia="zh-CN" w:bidi="ar"/>
              </w:rPr>
              <w:t>试验废液、废机油和山茱萸酒，项目运行期</w:t>
            </w:r>
            <w:r>
              <w:rPr>
                <w:color w:val="auto"/>
                <w:sz w:val="24"/>
              </w:rPr>
              <w:t>环境风险主要</w:t>
            </w:r>
            <w:r>
              <w:rPr>
                <w:color w:val="FF0000"/>
                <w:sz w:val="24"/>
              </w:rPr>
              <w:t>为</w:t>
            </w:r>
            <w:r>
              <w:rPr>
                <w:rFonts w:hint="eastAsia" w:cs="Times New Roman"/>
                <w:color w:val="FF0000"/>
                <w:kern w:val="0"/>
                <w:sz w:val="24"/>
                <w:szCs w:val="24"/>
                <w:highlight w:val="none"/>
                <w:lang w:val="en-US" w:eastAsia="zh-CN" w:bidi="ar"/>
              </w:rPr>
              <w:t>脱醇冷凝粗酒精液、</w:t>
            </w:r>
            <w:r>
              <w:rPr>
                <w:rFonts w:hint="eastAsia"/>
                <w:color w:val="FF0000"/>
                <w:sz w:val="24"/>
                <w:lang w:eastAsia="zh-CN"/>
              </w:rPr>
              <w:t>试验废液、废机油</w:t>
            </w:r>
            <w:r>
              <w:rPr>
                <w:rFonts w:hint="eastAsia"/>
                <w:color w:val="FF0000"/>
                <w:sz w:val="24"/>
              </w:rPr>
              <w:t>发生泄漏</w:t>
            </w:r>
            <w:r>
              <w:rPr>
                <w:rFonts w:hint="eastAsia"/>
                <w:color w:val="FF0000"/>
                <w:sz w:val="24"/>
                <w:lang w:eastAsia="zh-CN"/>
              </w:rPr>
              <w:t>以及发酵间、储酒罐区酒品泄漏，直接进入土壤和地下水环境，或</w:t>
            </w:r>
            <w:r>
              <w:rPr>
                <w:rFonts w:hint="eastAsia"/>
                <w:color w:val="FF0000"/>
                <w:sz w:val="24"/>
              </w:rPr>
              <w:t>遇明火发生火灾爆炸事故，</w:t>
            </w:r>
            <w:r>
              <w:rPr>
                <w:rFonts w:hint="eastAsia"/>
                <w:color w:val="auto"/>
                <w:sz w:val="24"/>
              </w:rPr>
              <w:t>继而引发不完全燃烧产生CO</w:t>
            </w:r>
            <w:r>
              <w:rPr>
                <w:color w:val="auto"/>
                <w:sz w:val="24"/>
              </w:rPr>
              <w:t>等</w:t>
            </w:r>
            <w:r>
              <w:rPr>
                <w:rFonts w:hint="eastAsia"/>
                <w:color w:val="auto"/>
                <w:sz w:val="24"/>
              </w:rPr>
              <w:t>有毒有害气体污染大气环境，产生</w:t>
            </w:r>
            <w:r>
              <w:rPr>
                <w:color w:val="auto"/>
                <w:sz w:val="24"/>
              </w:rPr>
              <w:t>消防废水</w:t>
            </w:r>
            <w:r>
              <w:rPr>
                <w:rFonts w:hint="eastAsia"/>
                <w:color w:val="auto"/>
                <w:sz w:val="24"/>
              </w:rPr>
              <w:t>发生</w:t>
            </w:r>
            <w:r>
              <w:rPr>
                <w:color w:val="auto"/>
                <w:sz w:val="24"/>
              </w:rPr>
              <w:t>外排将对</w:t>
            </w:r>
            <w:r>
              <w:rPr>
                <w:rFonts w:hint="eastAsia"/>
                <w:color w:val="auto"/>
                <w:sz w:val="24"/>
              </w:rPr>
              <w:t>地表</w:t>
            </w:r>
            <w:r>
              <w:rPr>
                <w:color w:val="auto"/>
                <w:sz w:val="24"/>
              </w:rPr>
              <w:t>水环境和土壤</w:t>
            </w:r>
            <w:r>
              <w:rPr>
                <w:rFonts w:hint="eastAsia"/>
                <w:color w:val="auto"/>
                <w:sz w:val="24"/>
              </w:rPr>
              <w:t>环境</w:t>
            </w:r>
            <w:r>
              <w:rPr>
                <w:color w:val="auto"/>
                <w:sz w:val="24"/>
              </w:rPr>
              <w:t>造成</w:t>
            </w:r>
            <w:r>
              <w:rPr>
                <w:rFonts w:hint="eastAsia"/>
                <w:color w:val="auto"/>
                <w:sz w:val="24"/>
              </w:rPr>
              <w:t>不利</w:t>
            </w:r>
            <w:r>
              <w:rPr>
                <w:color w:val="auto"/>
                <w:sz w:val="24"/>
              </w:rPr>
              <w:t>影响。根据《建设项目环境风险评价技术导则》（HJ</w:t>
            </w:r>
            <w:r>
              <w:rPr>
                <w:rFonts w:hint="eastAsia"/>
                <w:color w:val="auto"/>
                <w:sz w:val="24"/>
                <w:lang w:val="en-US" w:eastAsia="zh-CN"/>
              </w:rPr>
              <w:t xml:space="preserve"> </w:t>
            </w:r>
            <w:r>
              <w:rPr>
                <w:color w:val="auto"/>
                <w:sz w:val="24"/>
              </w:rPr>
              <w:t>169-2018）相关要求，本项目</w:t>
            </w:r>
            <w:r>
              <w:rPr>
                <w:rFonts w:hint="eastAsia"/>
                <w:color w:val="auto"/>
                <w:sz w:val="24"/>
                <w:lang w:eastAsia="zh-CN"/>
              </w:rPr>
              <w:t>厂区</w:t>
            </w:r>
            <w:r>
              <w:rPr>
                <w:color w:val="auto"/>
                <w:sz w:val="24"/>
              </w:rPr>
              <w:t>不存在重大危险源，且项目涉及危险品性质及生产工艺简单，环境风险较小。</w:t>
            </w:r>
          </w:p>
          <w:p w14:paraId="4F8490AE">
            <w:pPr>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color w:val="auto"/>
                <w:sz w:val="24"/>
                <w:szCs w:val="27"/>
                <w:lang w:val="en-US" w:eastAsia="zh-CN"/>
              </w:rPr>
            </w:pPr>
            <w:r>
              <w:rPr>
                <w:rFonts w:hint="default" w:ascii="Times New Roman" w:hAnsi="Times New Roman" w:eastAsia="宋体" w:cs="Times New Roman"/>
                <w:b/>
                <w:color w:val="auto"/>
                <w:sz w:val="24"/>
                <w:szCs w:val="27"/>
                <w:lang w:val="en-US" w:eastAsia="zh-CN"/>
              </w:rPr>
              <w:t>4.</w:t>
            </w:r>
            <w:r>
              <w:rPr>
                <w:rFonts w:hint="eastAsia" w:cs="Times New Roman"/>
                <w:b/>
                <w:color w:val="auto"/>
                <w:sz w:val="24"/>
                <w:szCs w:val="27"/>
                <w:lang w:val="en-US" w:eastAsia="zh-CN"/>
              </w:rPr>
              <w:t>7</w:t>
            </w:r>
            <w:r>
              <w:rPr>
                <w:rFonts w:hint="default" w:ascii="Times New Roman" w:hAnsi="Times New Roman" w:eastAsia="宋体" w:cs="Times New Roman"/>
                <w:b/>
                <w:color w:val="auto"/>
                <w:sz w:val="24"/>
                <w:szCs w:val="27"/>
                <w:lang w:val="en-US" w:eastAsia="zh-CN"/>
              </w:rPr>
              <w:t>.3环境风险防范措施</w:t>
            </w:r>
          </w:p>
          <w:p w14:paraId="60BA0F3D">
            <w:pPr>
              <w:widowControl/>
              <w:ind w:firstLine="480"/>
              <w:jc w:val="left"/>
              <w:rPr>
                <w:rFonts w:ascii="Times New Roman" w:hAnsi="Times New Roman" w:eastAsia="宋体"/>
                <w:color w:val="auto"/>
                <w:kern w:val="0"/>
                <w:highlight w:val="none"/>
              </w:rPr>
            </w:pPr>
            <w:r>
              <w:rPr>
                <w:rFonts w:hint="eastAsia" w:ascii="Times New Roman" w:hAnsi="Times New Roman" w:eastAsia="宋体" w:cs="宋体"/>
                <w:color w:val="auto"/>
                <w:kern w:val="0"/>
                <w:highlight w:val="none"/>
                <w:lang w:bidi="ar"/>
              </w:rPr>
              <w:t>为预防风险事故的发生，本次评价提出以下防范措施：</w:t>
            </w:r>
          </w:p>
          <w:p w14:paraId="5F586E75">
            <w:pPr>
              <w:widowControl/>
              <w:ind w:firstLine="480"/>
              <w:jc w:val="left"/>
              <w:rPr>
                <w:rFonts w:ascii="Times New Roman" w:hAnsi="Times New Roman" w:eastAsia="宋体"/>
                <w:color w:val="auto"/>
                <w:kern w:val="0"/>
                <w:highlight w:val="none"/>
              </w:rPr>
            </w:pPr>
            <w:r>
              <w:rPr>
                <w:color w:val="auto"/>
                <w:sz w:val="24"/>
              </w:rPr>
              <w:t>①</w:t>
            </w:r>
            <w:r>
              <w:rPr>
                <w:rFonts w:hint="eastAsia" w:ascii="Times New Roman" w:hAnsi="Times New Roman" w:eastAsia="宋体" w:cs="宋体"/>
                <w:color w:val="auto"/>
                <w:kern w:val="0"/>
                <w:highlight w:val="none"/>
                <w:lang w:bidi="ar"/>
              </w:rPr>
              <w:t>固体废物在厂</w:t>
            </w:r>
            <w:r>
              <w:rPr>
                <w:rFonts w:hint="eastAsia" w:cs="宋体"/>
                <w:color w:val="auto"/>
                <w:kern w:val="0"/>
                <w:highlight w:val="none"/>
                <w:lang w:eastAsia="zh-CN" w:bidi="ar"/>
              </w:rPr>
              <w:t>区</w:t>
            </w:r>
            <w:r>
              <w:rPr>
                <w:rFonts w:hint="eastAsia" w:ascii="Times New Roman" w:hAnsi="Times New Roman" w:eastAsia="宋体" w:cs="宋体"/>
                <w:color w:val="auto"/>
                <w:kern w:val="0"/>
                <w:highlight w:val="none"/>
                <w:lang w:bidi="ar"/>
              </w:rPr>
              <w:t>内的堆放、贮存场所应按照国家固体废物贮存有关要求设置</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eastAsia="宋体" w:cs="宋体"/>
                <w:color w:val="auto"/>
                <w:kern w:val="0"/>
                <w:highlight w:val="none"/>
                <w:lang w:bidi="ar"/>
              </w:rPr>
              <w:t>防止危险废物与一般工业固体废物、生活垃圾混放后，引发危险废物的二次污染；各种固体废物在厂内转移运输过</w:t>
            </w:r>
            <w:r>
              <w:rPr>
                <w:rFonts w:hint="eastAsia" w:cs="宋体"/>
                <w:color w:val="auto"/>
                <w:kern w:val="0"/>
                <w:highlight w:val="none"/>
                <w:lang w:eastAsia="zh-CN" w:bidi="ar"/>
              </w:rPr>
              <w:t>程中</w:t>
            </w:r>
            <w:r>
              <w:rPr>
                <w:rFonts w:hint="eastAsia" w:ascii="Times New Roman" w:hAnsi="Times New Roman" w:eastAsia="宋体" w:cs="宋体"/>
                <w:color w:val="auto"/>
                <w:kern w:val="0"/>
                <w:highlight w:val="none"/>
                <w:lang w:bidi="ar"/>
              </w:rPr>
              <w:t>应防止对环境造成影响，堆放场所采取防火、防扬散、防流失、防渗漏或者防止污染的措施，</w:t>
            </w:r>
            <w:r>
              <w:rPr>
                <w:rFonts w:hint="eastAsia" w:ascii="Times New Roman" w:hAnsi="Times New Roman" w:eastAsia="宋体" w:cs="宋体"/>
                <w:color w:val="auto"/>
                <w:kern w:val="0"/>
                <w:highlight w:val="none"/>
                <w:lang w:val="en-US" w:eastAsia="zh-CN" w:bidi="ar"/>
              </w:rPr>
              <w:t>可</w:t>
            </w:r>
            <w:r>
              <w:rPr>
                <w:rFonts w:hint="eastAsia" w:ascii="Times New Roman" w:hAnsi="Times New Roman" w:eastAsia="宋体" w:cs="宋体"/>
                <w:color w:val="auto"/>
                <w:kern w:val="0"/>
                <w:highlight w:val="none"/>
                <w:lang w:bidi="ar"/>
              </w:rPr>
              <w:t>降低对环境的影响。</w:t>
            </w:r>
          </w:p>
          <w:p w14:paraId="4D8EC3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color w:val="auto"/>
                <w:sz w:val="24"/>
              </w:rPr>
              <w:t>②</w:t>
            </w:r>
            <w:r>
              <w:rPr>
                <w:rFonts w:hint="default" w:ascii="Times New Roman" w:hAnsi="Times New Roman" w:eastAsia="宋体" w:cs="Times New Roman"/>
                <w:color w:val="auto"/>
                <w:sz w:val="24"/>
                <w:szCs w:val="24"/>
                <w:highlight w:val="none"/>
                <w:lang w:val="en-US" w:eastAsia="zh-CN"/>
              </w:rPr>
              <w:t>废</w:t>
            </w:r>
            <w:r>
              <w:rPr>
                <w:rFonts w:hint="eastAsia" w:ascii="Times New Roman" w:hAnsi="Times New Roman" w:eastAsia="宋体" w:cs="Times New Roman"/>
                <w:color w:val="auto"/>
                <w:sz w:val="24"/>
                <w:szCs w:val="24"/>
                <w:highlight w:val="none"/>
                <w:lang w:val="en-US" w:eastAsia="zh-CN"/>
              </w:rPr>
              <w:t>机</w:t>
            </w:r>
            <w:r>
              <w:rPr>
                <w:rFonts w:hint="eastAsia" w:cs="Times New Roman"/>
                <w:color w:val="auto"/>
                <w:sz w:val="24"/>
                <w:szCs w:val="24"/>
                <w:highlight w:val="none"/>
                <w:lang w:val="en-US" w:eastAsia="zh-CN"/>
              </w:rPr>
              <w:t>油等环境风险物质</w:t>
            </w:r>
            <w:r>
              <w:rPr>
                <w:rFonts w:hint="default" w:ascii="Times New Roman" w:hAnsi="Times New Roman" w:eastAsia="宋体" w:cs="Times New Roman"/>
                <w:color w:val="auto"/>
                <w:sz w:val="24"/>
                <w:szCs w:val="24"/>
                <w:highlight w:val="none"/>
                <w:lang w:val="en-US" w:eastAsia="zh-CN"/>
              </w:rPr>
              <w:t>远离火源，使用工位和储存点禁火、禁烟，设置完整的防火及灭火装备，同时保证厂区内具有良好的通风条件。</w:t>
            </w:r>
            <w:r>
              <w:rPr>
                <w:rFonts w:hint="eastAsia" w:cs="Times New Roman"/>
                <w:color w:val="auto"/>
                <w:sz w:val="24"/>
                <w:szCs w:val="24"/>
                <w:highlight w:val="none"/>
                <w:lang w:val="en-US" w:eastAsia="zh-CN"/>
              </w:rPr>
              <w:t>项目环境风险单元设</w:t>
            </w:r>
            <w:r>
              <w:rPr>
                <w:rFonts w:hint="default" w:ascii="Times New Roman" w:hAnsi="Times New Roman" w:eastAsia="宋体" w:cs="Times New Roman"/>
                <w:color w:val="auto"/>
                <w:sz w:val="24"/>
                <w:szCs w:val="24"/>
                <w:highlight w:val="none"/>
                <w:lang w:val="en-US" w:eastAsia="zh-CN"/>
              </w:rPr>
              <w:t>灭火器、</w:t>
            </w:r>
            <w:r>
              <w:rPr>
                <w:rFonts w:hint="eastAsia" w:ascii="Times New Roman" w:hAnsi="Times New Roman" w:eastAsia="宋体" w:cs="Times New Roman"/>
                <w:color w:val="auto"/>
                <w:sz w:val="24"/>
                <w:szCs w:val="24"/>
                <w:highlight w:val="none"/>
                <w:lang w:val="en-US" w:eastAsia="zh-CN"/>
              </w:rPr>
              <w:t>消防栓、</w:t>
            </w:r>
            <w:r>
              <w:rPr>
                <w:rFonts w:hint="default" w:ascii="Times New Roman" w:hAnsi="Times New Roman" w:eastAsia="宋体" w:cs="Times New Roman"/>
                <w:color w:val="auto"/>
                <w:sz w:val="24"/>
                <w:szCs w:val="24"/>
                <w:highlight w:val="none"/>
                <w:lang w:val="en-US" w:eastAsia="zh-CN"/>
              </w:rPr>
              <w:t>消防</w:t>
            </w:r>
            <w:r>
              <w:rPr>
                <w:rFonts w:hint="eastAsia" w:cs="Times New Roman"/>
                <w:color w:val="auto"/>
                <w:sz w:val="24"/>
                <w:szCs w:val="24"/>
                <w:highlight w:val="none"/>
                <w:lang w:val="en-US" w:eastAsia="zh-CN"/>
              </w:rPr>
              <w:t>沙等应急物资，定期检查维护、更新、补充，保持在有效期内</w:t>
            </w:r>
            <w:r>
              <w:rPr>
                <w:rFonts w:hint="default" w:ascii="Times New Roman" w:hAnsi="Times New Roman" w:eastAsia="宋体" w:cs="Times New Roman"/>
                <w:color w:val="auto"/>
                <w:sz w:val="24"/>
                <w:szCs w:val="24"/>
                <w:highlight w:val="none"/>
                <w:lang w:val="en-US" w:eastAsia="zh-CN"/>
              </w:rPr>
              <w:t>。</w:t>
            </w:r>
          </w:p>
          <w:p w14:paraId="6722E3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color w:val="FF0000"/>
                <w:sz w:val="24"/>
                <w:szCs w:val="24"/>
                <w:highlight w:val="none"/>
                <w:lang w:val="en-US" w:eastAsia="zh-CN"/>
              </w:rPr>
            </w:pPr>
            <w:r>
              <w:rPr>
                <w:color w:val="auto"/>
                <w:sz w:val="24"/>
              </w:rPr>
              <w:t>③</w:t>
            </w:r>
            <w:r>
              <w:rPr>
                <w:rFonts w:hint="eastAsia" w:ascii="宋体" w:hAnsi="宋体" w:cs="宋体"/>
                <w:color w:val="auto"/>
                <w:sz w:val="24"/>
                <w:lang w:eastAsia="zh-CN"/>
              </w:rPr>
              <w:t>项目生产设备</w:t>
            </w:r>
            <w:r>
              <w:rPr>
                <w:rFonts w:hint="eastAsia" w:ascii="宋体" w:hAnsi="宋体" w:cs="宋体"/>
                <w:color w:val="auto"/>
                <w:sz w:val="24"/>
              </w:rPr>
              <w:t>操作人员须经过培训，严格遵守操作规程。</w:t>
            </w:r>
            <w:r>
              <w:rPr>
                <w:rFonts w:hint="eastAsia" w:cs="Times New Roman"/>
                <w:color w:val="auto"/>
                <w:sz w:val="24"/>
                <w:szCs w:val="24"/>
                <w:highlight w:val="none"/>
                <w:lang w:val="en-US" w:eastAsia="zh-CN"/>
              </w:rPr>
              <w:t>定期对生产设备进行安全检测，记录检测内容、时间、人员等内容；加强厂内明火控制，从根本上防止火灾、爆炸事故的发生。发酵过程严格控制发酵温度、压力、密闭性，杜绝罐体超压、密封失效导致的酒精蒸汽外泄；定期检测发酵液、原酒储存稳定性，杜绝异常发酵、过度产气引发罐体破损泄漏。储酒罐严格按照额定液位储存，严禁超装、混装不同度数、不同品类原酒，防止物料反应异常产生安全隐患。</w:t>
            </w:r>
          </w:p>
          <w:p w14:paraId="00A60CCE">
            <w:pPr>
              <w:spacing w:line="360" w:lineRule="auto"/>
              <w:ind w:firstLine="480" w:firstLineChars="200"/>
              <w:rPr>
                <w:color w:val="auto"/>
                <w:sz w:val="24"/>
              </w:rPr>
            </w:pPr>
            <w:r>
              <w:rPr>
                <w:color w:val="auto"/>
                <w:sz w:val="24"/>
              </w:rPr>
              <w:t>④制定环境管理制度，安排专人定期检查，加强职工的安全教育，</w:t>
            </w:r>
            <w:r>
              <w:rPr>
                <w:rFonts w:hint="eastAsia"/>
                <w:color w:val="auto"/>
                <w:sz w:val="24"/>
              </w:rPr>
              <w:t>定期组织应急事故演习，</w:t>
            </w:r>
            <w:r>
              <w:rPr>
                <w:color w:val="auto"/>
                <w:sz w:val="24"/>
              </w:rPr>
              <w:t>严格实行岗位责任制，及时发现并消除隐患</w:t>
            </w:r>
            <w:r>
              <w:rPr>
                <w:rFonts w:hint="eastAsia"/>
                <w:color w:val="auto"/>
                <w:sz w:val="24"/>
              </w:rPr>
              <w:t>，</w:t>
            </w:r>
            <w:r>
              <w:rPr>
                <w:color w:val="auto"/>
                <w:sz w:val="24"/>
              </w:rPr>
              <w:t>发生</w:t>
            </w:r>
            <w:r>
              <w:rPr>
                <w:rFonts w:hint="eastAsia"/>
                <w:color w:val="auto"/>
                <w:sz w:val="24"/>
              </w:rPr>
              <w:t>环境风险物质</w:t>
            </w:r>
            <w:r>
              <w:rPr>
                <w:color w:val="auto"/>
                <w:sz w:val="24"/>
              </w:rPr>
              <w:t>泄漏及时采取堵漏、防流失措施并上报，防止土壤及地下水污染。</w:t>
            </w:r>
          </w:p>
          <w:p w14:paraId="19A3D00D">
            <w:pPr>
              <w:spacing w:line="360" w:lineRule="auto"/>
              <w:ind w:firstLine="480" w:firstLineChars="200"/>
              <w:rPr>
                <w:rFonts w:hint="eastAsia" w:eastAsia="宋体"/>
                <w:color w:val="auto"/>
                <w:sz w:val="24"/>
                <w:lang w:eastAsia="zh-CN"/>
              </w:rPr>
            </w:pPr>
            <w:r>
              <w:rPr>
                <w:rFonts w:hint="eastAsia"/>
                <w:color w:val="auto"/>
                <w:sz w:val="24"/>
              </w:rPr>
              <w:t>⑤</w:t>
            </w:r>
            <w:r>
              <w:rPr>
                <w:rFonts w:hint="eastAsia"/>
                <w:color w:val="auto"/>
                <w:sz w:val="24"/>
                <w:lang w:eastAsia="zh-CN"/>
              </w:rPr>
              <w:t>项目生产废水主要</w:t>
            </w:r>
            <w:r>
              <w:rPr>
                <w:rFonts w:hint="eastAsia"/>
                <w:color w:val="FF0000"/>
                <w:sz w:val="24"/>
                <w:highlight w:val="none"/>
                <w:lang w:val="en-US" w:eastAsia="zh-CN"/>
              </w:rPr>
              <w:t>通过在发酵罐等罐体下端排放口、纯水制备浓水收集口等位置将废水采集至废水收集桶，</w:t>
            </w:r>
            <w:r>
              <w:rPr>
                <w:rFonts w:hint="eastAsia"/>
                <w:color w:val="FF0000"/>
                <w:sz w:val="24"/>
                <w:lang w:eastAsia="zh-CN"/>
              </w:rPr>
              <w:t>委托检测单位检测合格满足</w:t>
            </w:r>
            <w:r>
              <w:rPr>
                <w:rFonts w:hint="eastAsia"/>
                <w:color w:val="FF0000"/>
                <w:sz w:val="24"/>
                <w:highlight w:val="none"/>
                <w:lang w:val="en-US" w:eastAsia="zh-CN"/>
              </w:rPr>
              <w:t>佛坪县污水处理厂进水水质要求及时通过罐车拉运至佛坪县污水处理厂处理，建设单位应注意对废水收集措施处置，定期检查生产废水收集口，防止出现跑冒滴漏、外排的风险，禁止生产废水外排。</w:t>
            </w:r>
          </w:p>
          <w:p w14:paraId="0A6F9980">
            <w:pPr>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color w:val="auto"/>
                <w:sz w:val="24"/>
                <w:szCs w:val="27"/>
                <w:lang w:val="en-US" w:eastAsia="zh-CN"/>
              </w:rPr>
            </w:pPr>
            <w:r>
              <w:rPr>
                <w:rFonts w:hint="default" w:ascii="Times New Roman" w:hAnsi="Times New Roman" w:eastAsia="宋体" w:cs="Times New Roman"/>
                <w:b/>
                <w:color w:val="auto"/>
                <w:sz w:val="24"/>
                <w:szCs w:val="27"/>
                <w:lang w:val="en-US" w:eastAsia="zh-CN"/>
              </w:rPr>
              <w:t>4.</w:t>
            </w:r>
            <w:r>
              <w:rPr>
                <w:rFonts w:hint="eastAsia" w:cs="Times New Roman"/>
                <w:b/>
                <w:color w:val="auto"/>
                <w:sz w:val="24"/>
                <w:szCs w:val="27"/>
                <w:lang w:val="en-US" w:eastAsia="zh-CN"/>
              </w:rPr>
              <w:t>7</w:t>
            </w:r>
            <w:r>
              <w:rPr>
                <w:rFonts w:hint="default" w:ascii="Times New Roman" w:hAnsi="Times New Roman" w:eastAsia="宋体" w:cs="Times New Roman"/>
                <w:b/>
                <w:color w:val="auto"/>
                <w:sz w:val="24"/>
                <w:szCs w:val="27"/>
                <w:lang w:val="en-US" w:eastAsia="zh-CN"/>
              </w:rPr>
              <w:t>.4环境风险分析结论</w:t>
            </w:r>
          </w:p>
          <w:p w14:paraId="29592874">
            <w:pPr>
              <w:spacing w:line="360" w:lineRule="auto"/>
              <w:ind w:firstLine="480" w:firstLineChars="200"/>
              <w:rPr>
                <w:color w:val="auto"/>
                <w:kern w:val="0"/>
                <w:sz w:val="24"/>
              </w:rPr>
            </w:pPr>
            <w:r>
              <w:rPr>
                <w:color w:val="auto"/>
                <w:kern w:val="0"/>
                <w:sz w:val="24"/>
              </w:rPr>
              <w:t>综上分析，本项目具有潜在的事故风险，尽管发生的概率较小，但要从建设、贮运等方面采取防护措施；为了防范事故和减少危害，需制定突发环境事件应急预案并完成备案工作。当出现事故时，要采取应急措施，发生较大事故时，要采取社会应急措施，以控制事故和减少对环境造成的危害。</w:t>
            </w:r>
          </w:p>
          <w:p w14:paraId="3F552A6C">
            <w:pPr>
              <w:pStyle w:val="2"/>
              <w:rPr>
                <w:color w:val="auto"/>
                <w:kern w:val="0"/>
                <w:sz w:val="24"/>
              </w:rPr>
            </w:pPr>
          </w:p>
          <w:p w14:paraId="1A8E81DF">
            <w:pPr>
              <w:pStyle w:val="4"/>
              <w:rPr>
                <w:color w:val="auto"/>
                <w:kern w:val="0"/>
                <w:sz w:val="24"/>
              </w:rPr>
            </w:pPr>
          </w:p>
          <w:p w14:paraId="7E1A4798">
            <w:pPr>
              <w:rPr>
                <w:color w:val="auto"/>
                <w:kern w:val="0"/>
                <w:sz w:val="24"/>
              </w:rPr>
            </w:pPr>
          </w:p>
          <w:p w14:paraId="7B2D7AB0">
            <w:pPr>
              <w:pStyle w:val="2"/>
              <w:rPr>
                <w:color w:val="auto"/>
                <w:kern w:val="0"/>
                <w:sz w:val="24"/>
              </w:rPr>
            </w:pPr>
          </w:p>
          <w:p w14:paraId="77E14F46">
            <w:pPr>
              <w:pStyle w:val="4"/>
              <w:rPr>
                <w:color w:val="auto"/>
                <w:kern w:val="0"/>
                <w:sz w:val="24"/>
              </w:rPr>
            </w:pPr>
          </w:p>
          <w:p w14:paraId="5882D84A">
            <w:pPr>
              <w:rPr>
                <w:color w:val="auto"/>
                <w:kern w:val="0"/>
                <w:sz w:val="24"/>
              </w:rPr>
            </w:pPr>
          </w:p>
          <w:p w14:paraId="1AE4DDD0">
            <w:pPr>
              <w:pStyle w:val="2"/>
              <w:rPr>
                <w:color w:val="auto"/>
                <w:kern w:val="0"/>
                <w:sz w:val="24"/>
              </w:rPr>
            </w:pPr>
          </w:p>
          <w:p w14:paraId="0BC96CF7">
            <w:pPr>
              <w:pStyle w:val="4"/>
              <w:rPr>
                <w:color w:val="auto"/>
                <w:kern w:val="0"/>
                <w:sz w:val="24"/>
              </w:rPr>
            </w:pPr>
          </w:p>
          <w:p w14:paraId="2A065F6C">
            <w:pPr>
              <w:rPr>
                <w:color w:val="auto"/>
                <w:kern w:val="0"/>
                <w:sz w:val="24"/>
              </w:rPr>
            </w:pPr>
          </w:p>
          <w:p w14:paraId="32166905">
            <w:pPr>
              <w:pStyle w:val="2"/>
              <w:rPr>
                <w:color w:val="auto"/>
                <w:kern w:val="0"/>
                <w:sz w:val="24"/>
              </w:rPr>
            </w:pPr>
          </w:p>
          <w:p w14:paraId="53747777">
            <w:pPr>
              <w:pStyle w:val="4"/>
              <w:rPr>
                <w:color w:val="auto"/>
                <w:kern w:val="0"/>
                <w:sz w:val="24"/>
              </w:rPr>
            </w:pPr>
          </w:p>
          <w:p w14:paraId="30425CDA">
            <w:pPr>
              <w:rPr>
                <w:color w:val="auto"/>
                <w:kern w:val="0"/>
                <w:sz w:val="24"/>
              </w:rPr>
            </w:pPr>
          </w:p>
          <w:p w14:paraId="28B29403">
            <w:pPr>
              <w:pStyle w:val="2"/>
              <w:rPr>
                <w:color w:val="auto"/>
                <w:kern w:val="0"/>
                <w:sz w:val="24"/>
              </w:rPr>
            </w:pPr>
          </w:p>
          <w:p w14:paraId="0E8DCBA0">
            <w:pPr>
              <w:pStyle w:val="4"/>
              <w:rPr>
                <w:color w:val="auto"/>
                <w:kern w:val="0"/>
                <w:sz w:val="24"/>
              </w:rPr>
            </w:pPr>
          </w:p>
          <w:p w14:paraId="7DCE920B">
            <w:pPr>
              <w:rPr>
                <w:color w:val="auto"/>
                <w:kern w:val="0"/>
                <w:sz w:val="24"/>
              </w:rPr>
            </w:pPr>
          </w:p>
          <w:p w14:paraId="24F61948">
            <w:pPr>
              <w:pStyle w:val="2"/>
              <w:rPr>
                <w:color w:val="auto"/>
                <w:kern w:val="0"/>
                <w:sz w:val="24"/>
              </w:rPr>
            </w:pPr>
          </w:p>
          <w:p w14:paraId="33E215C3">
            <w:pPr>
              <w:pStyle w:val="4"/>
              <w:rPr>
                <w:color w:val="auto"/>
                <w:kern w:val="0"/>
                <w:sz w:val="24"/>
              </w:rPr>
            </w:pPr>
          </w:p>
          <w:p w14:paraId="68C976A9">
            <w:pPr>
              <w:rPr>
                <w:color w:val="auto"/>
                <w:kern w:val="0"/>
                <w:sz w:val="24"/>
              </w:rPr>
            </w:pPr>
          </w:p>
          <w:p w14:paraId="145E53EF">
            <w:pPr>
              <w:pStyle w:val="2"/>
              <w:rPr>
                <w:color w:val="auto"/>
                <w:kern w:val="0"/>
                <w:sz w:val="24"/>
              </w:rPr>
            </w:pPr>
          </w:p>
          <w:p w14:paraId="61AB8AA9">
            <w:pPr>
              <w:pStyle w:val="4"/>
              <w:rPr>
                <w:color w:val="auto"/>
                <w:kern w:val="0"/>
                <w:sz w:val="24"/>
              </w:rPr>
            </w:pPr>
          </w:p>
          <w:p w14:paraId="5952C378">
            <w:pPr>
              <w:rPr>
                <w:color w:val="auto"/>
                <w:kern w:val="0"/>
                <w:sz w:val="24"/>
              </w:rPr>
            </w:pPr>
          </w:p>
          <w:p w14:paraId="02D6847F">
            <w:pPr>
              <w:pStyle w:val="2"/>
              <w:rPr>
                <w:color w:val="auto"/>
                <w:kern w:val="0"/>
                <w:sz w:val="24"/>
              </w:rPr>
            </w:pPr>
          </w:p>
          <w:p w14:paraId="09A80030">
            <w:pPr>
              <w:pStyle w:val="4"/>
              <w:rPr>
                <w:color w:val="auto"/>
                <w:kern w:val="0"/>
                <w:sz w:val="24"/>
              </w:rPr>
            </w:pPr>
          </w:p>
          <w:p w14:paraId="1DB39CF8">
            <w:pPr>
              <w:ind w:left="0" w:leftChars="0" w:firstLine="0" w:firstLineChars="0"/>
              <w:rPr>
                <w:color w:val="auto"/>
                <w:kern w:val="0"/>
                <w:sz w:val="24"/>
              </w:rPr>
            </w:pPr>
          </w:p>
          <w:p w14:paraId="3E3367AC">
            <w:pPr>
              <w:pStyle w:val="2"/>
              <w:rPr>
                <w:color w:val="auto"/>
                <w:kern w:val="0"/>
                <w:sz w:val="24"/>
              </w:rPr>
            </w:pPr>
          </w:p>
          <w:p w14:paraId="2EB05A52">
            <w:pPr>
              <w:pStyle w:val="4"/>
              <w:rPr>
                <w:color w:val="auto"/>
                <w:kern w:val="0"/>
                <w:sz w:val="24"/>
              </w:rPr>
            </w:pPr>
          </w:p>
          <w:p w14:paraId="1ABDF0E0">
            <w:pPr>
              <w:rPr>
                <w:color w:val="auto"/>
                <w:kern w:val="0"/>
                <w:sz w:val="24"/>
              </w:rPr>
            </w:pPr>
          </w:p>
          <w:p w14:paraId="2A0FD04D">
            <w:pPr>
              <w:pStyle w:val="2"/>
            </w:pPr>
          </w:p>
        </w:tc>
      </w:tr>
    </w:tbl>
    <w:p w14:paraId="0186F552">
      <w:pPr>
        <w:adjustRightInd w:val="0"/>
        <w:snapToGrid w:val="0"/>
        <w:spacing w:line="360" w:lineRule="auto"/>
        <w:ind w:left="0" w:leftChars="0" w:firstLine="0" w:firstLineChars="0"/>
        <w:rPr>
          <w:rFonts w:hint="eastAsia" w:ascii="Times New Roman" w:hAnsi="Times New Roman" w:eastAsia="宋体" w:cs="宋体"/>
          <w:b/>
          <w:color w:val="auto"/>
          <w:kern w:val="0"/>
          <w:sz w:val="28"/>
          <w:szCs w:val="28"/>
          <w:highlight w:val="none"/>
        </w:rPr>
        <w:sectPr>
          <w:pgSz w:w="11907" w:h="16840"/>
          <w:pgMar w:top="1304" w:right="1304" w:bottom="1304" w:left="1304" w:header="794" w:footer="737" w:gutter="0"/>
          <w:pgBorders>
            <w:top w:val="none" w:sz="0" w:space="0"/>
            <w:left w:val="none" w:sz="0" w:space="0"/>
            <w:bottom w:val="none" w:sz="0" w:space="0"/>
            <w:right w:val="none" w:sz="0" w:space="0"/>
          </w:pgBorders>
          <w:pgNumType w:fmt="decimal"/>
          <w:cols w:space="720" w:num="1"/>
          <w:docGrid w:linePitch="312" w:charSpace="0"/>
        </w:sectPr>
      </w:pPr>
    </w:p>
    <w:p w14:paraId="13AFE880">
      <w:pPr>
        <w:pStyle w:val="5"/>
        <w:bidi w:val="0"/>
        <w:rPr>
          <w:rFonts w:ascii="Times New Roman" w:hAnsi="Times New Roman" w:eastAsia="宋体"/>
          <w:color w:val="auto"/>
          <w:highlight w:val="none"/>
        </w:rPr>
      </w:pPr>
      <w:r>
        <w:rPr>
          <w:rFonts w:hint="eastAsia" w:ascii="Times New Roman" w:hAnsi="Times New Roman" w:eastAsia="宋体"/>
          <w:color w:val="auto"/>
          <w:highlight w:val="none"/>
        </w:rPr>
        <w:t>五、</w:t>
      </w:r>
      <w:bookmarkStart w:id="44" w:name="_Hlk54167917"/>
      <w:r>
        <w:rPr>
          <w:rFonts w:hint="eastAsia" w:ascii="Times New Roman" w:hAnsi="Times New Roman" w:eastAsia="宋体"/>
          <w:color w:val="auto"/>
          <w:highlight w:val="none"/>
        </w:rPr>
        <w:t>环境保护措施监督检查清单</w:t>
      </w:r>
      <w:bookmarkEnd w:id="44"/>
    </w:p>
    <w:tbl>
      <w:tblPr>
        <w:tblStyle w:val="25"/>
        <w:tblW w:w="100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727"/>
        <w:gridCol w:w="2173"/>
        <w:gridCol w:w="1845"/>
        <w:gridCol w:w="3121"/>
      </w:tblGrid>
      <w:tr w14:paraId="3D94BC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223" w:type="dxa"/>
            <w:tcBorders>
              <w:tl2br w:val="single" w:color="auto" w:sz="4" w:space="0"/>
            </w:tcBorders>
            <w:noWrap w:val="0"/>
            <w:vAlign w:val="top"/>
          </w:tcPr>
          <w:p w14:paraId="36498D3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宋体" w:cs="宋体"/>
                <w:b/>
                <w:bCs/>
                <w:color w:val="auto"/>
                <w:sz w:val="24"/>
                <w:szCs w:val="24"/>
                <w:highlight w:val="none"/>
              </w:rPr>
            </w:pPr>
            <w:r>
              <w:rPr>
                <w:rFonts w:hint="eastAsia" w:ascii="Times New Roman" w:hAnsi="Times New Roman" w:eastAsia="宋体" w:cs="宋体"/>
                <w:b/>
                <w:bCs/>
                <w:color w:val="auto"/>
                <w:sz w:val="24"/>
                <w:szCs w:val="24"/>
                <w:highlight w:val="none"/>
              </w:rPr>
              <w:t>内容</w:t>
            </w:r>
          </w:p>
          <w:p w14:paraId="0EB02F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宋体"/>
                <w:b/>
                <w:bCs/>
                <w:color w:val="auto"/>
                <w:sz w:val="24"/>
                <w:szCs w:val="24"/>
                <w:highlight w:val="none"/>
              </w:rPr>
            </w:pPr>
            <w:r>
              <w:rPr>
                <w:rFonts w:hint="eastAsia" w:ascii="Times New Roman" w:hAnsi="Times New Roman" w:eastAsia="宋体" w:cs="宋体"/>
                <w:b/>
                <w:bCs/>
                <w:color w:val="auto"/>
                <w:sz w:val="24"/>
                <w:szCs w:val="24"/>
                <w:highlight w:val="none"/>
              </w:rPr>
              <w:t>要素</w:t>
            </w:r>
          </w:p>
        </w:tc>
        <w:tc>
          <w:tcPr>
            <w:tcW w:w="1727" w:type="dxa"/>
            <w:noWrap w:val="0"/>
            <w:vAlign w:val="center"/>
          </w:tcPr>
          <w:p w14:paraId="417835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
                <w:bCs/>
                <w:color w:val="auto"/>
                <w:sz w:val="24"/>
                <w:szCs w:val="24"/>
                <w:highlight w:val="none"/>
              </w:rPr>
            </w:pPr>
            <w:r>
              <w:rPr>
                <w:rFonts w:hint="eastAsia" w:ascii="Times New Roman" w:hAnsi="Times New Roman" w:eastAsia="宋体" w:cs="宋体"/>
                <w:b/>
                <w:bCs/>
                <w:color w:val="auto"/>
                <w:sz w:val="24"/>
                <w:szCs w:val="24"/>
                <w:highlight w:val="none"/>
              </w:rPr>
              <w:t>排放口</w:t>
            </w:r>
            <w:r>
              <w:rPr>
                <w:rFonts w:hint="eastAsia" w:ascii="Times New Roman" w:hAnsi="Times New Roman" w:eastAsia="宋体" w:cs="宋体"/>
                <w:b/>
                <w:bCs/>
                <w:color w:val="auto"/>
                <w:sz w:val="24"/>
                <w:szCs w:val="24"/>
                <w:highlight w:val="none"/>
                <w:lang w:eastAsia="zh-CN"/>
              </w:rPr>
              <w:t>（</w:t>
            </w:r>
            <w:r>
              <w:rPr>
                <w:rFonts w:hint="eastAsia" w:ascii="Times New Roman" w:hAnsi="Times New Roman" w:eastAsia="宋体" w:cs="宋体"/>
                <w:b/>
                <w:bCs/>
                <w:color w:val="auto"/>
                <w:sz w:val="24"/>
                <w:szCs w:val="24"/>
                <w:highlight w:val="none"/>
              </w:rPr>
              <w:t>编号、名称</w:t>
            </w:r>
            <w:r>
              <w:rPr>
                <w:rFonts w:hint="eastAsia" w:ascii="Times New Roman" w:hAnsi="Times New Roman" w:eastAsia="宋体" w:cs="宋体"/>
                <w:b/>
                <w:bCs/>
                <w:color w:val="auto"/>
                <w:sz w:val="24"/>
                <w:szCs w:val="24"/>
                <w:highlight w:val="none"/>
                <w:lang w:eastAsia="zh-CN"/>
              </w:rPr>
              <w:t>）</w:t>
            </w:r>
            <w:r>
              <w:rPr>
                <w:rFonts w:hint="eastAsia" w:ascii="Times New Roman" w:hAnsi="Times New Roman" w:eastAsia="宋体" w:cs="宋体"/>
                <w:b/>
                <w:bCs/>
                <w:color w:val="auto"/>
                <w:sz w:val="24"/>
                <w:szCs w:val="24"/>
                <w:highlight w:val="none"/>
              </w:rPr>
              <w:t>/污染源</w:t>
            </w:r>
          </w:p>
        </w:tc>
        <w:tc>
          <w:tcPr>
            <w:tcW w:w="2173" w:type="dxa"/>
            <w:noWrap w:val="0"/>
            <w:vAlign w:val="center"/>
          </w:tcPr>
          <w:p w14:paraId="77DDB1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
                <w:bCs/>
                <w:color w:val="auto"/>
                <w:sz w:val="24"/>
                <w:szCs w:val="24"/>
                <w:highlight w:val="none"/>
              </w:rPr>
            </w:pPr>
            <w:r>
              <w:rPr>
                <w:rFonts w:hint="eastAsia" w:ascii="Times New Roman" w:hAnsi="Times New Roman" w:eastAsia="宋体" w:cs="宋体"/>
                <w:b/>
                <w:bCs/>
                <w:color w:val="auto"/>
                <w:sz w:val="24"/>
                <w:szCs w:val="24"/>
                <w:highlight w:val="none"/>
              </w:rPr>
              <w:t>污染物项目</w:t>
            </w:r>
          </w:p>
        </w:tc>
        <w:tc>
          <w:tcPr>
            <w:tcW w:w="1845" w:type="dxa"/>
            <w:noWrap w:val="0"/>
            <w:vAlign w:val="center"/>
          </w:tcPr>
          <w:p w14:paraId="6577BC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
                <w:bCs/>
                <w:color w:val="auto"/>
                <w:sz w:val="24"/>
                <w:szCs w:val="24"/>
                <w:highlight w:val="none"/>
              </w:rPr>
            </w:pPr>
            <w:r>
              <w:rPr>
                <w:rFonts w:hint="eastAsia" w:ascii="Times New Roman" w:hAnsi="Times New Roman" w:eastAsia="宋体" w:cs="宋体"/>
                <w:b/>
                <w:bCs/>
                <w:color w:val="auto"/>
                <w:sz w:val="24"/>
                <w:szCs w:val="24"/>
                <w:highlight w:val="none"/>
              </w:rPr>
              <w:t>环境保护措施</w:t>
            </w:r>
          </w:p>
        </w:tc>
        <w:tc>
          <w:tcPr>
            <w:tcW w:w="3121" w:type="dxa"/>
            <w:noWrap w:val="0"/>
            <w:vAlign w:val="center"/>
          </w:tcPr>
          <w:p w14:paraId="5BDFB1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
                <w:bCs/>
                <w:color w:val="auto"/>
                <w:sz w:val="24"/>
                <w:szCs w:val="24"/>
                <w:highlight w:val="none"/>
              </w:rPr>
            </w:pPr>
            <w:r>
              <w:rPr>
                <w:rFonts w:hint="eastAsia" w:ascii="Times New Roman" w:hAnsi="Times New Roman" w:eastAsia="宋体" w:cs="宋体"/>
                <w:b/>
                <w:bCs/>
                <w:color w:val="auto"/>
                <w:sz w:val="24"/>
                <w:szCs w:val="24"/>
                <w:highlight w:val="none"/>
              </w:rPr>
              <w:t>执行标准</w:t>
            </w:r>
          </w:p>
        </w:tc>
      </w:tr>
      <w:tr w14:paraId="195E48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3" w:type="dxa"/>
            <w:vMerge w:val="restart"/>
            <w:noWrap w:val="0"/>
            <w:vAlign w:val="center"/>
          </w:tcPr>
          <w:p w14:paraId="35037F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大气环境</w:t>
            </w:r>
          </w:p>
        </w:tc>
        <w:tc>
          <w:tcPr>
            <w:tcW w:w="1727" w:type="dxa"/>
            <w:noWrap w:val="0"/>
            <w:vAlign w:val="center"/>
          </w:tcPr>
          <w:p w14:paraId="0111AA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厂内无组织废气</w:t>
            </w:r>
          </w:p>
        </w:tc>
        <w:tc>
          <w:tcPr>
            <w:tcW w:w="2173" w:type="dxa"/>
            <w:noWrap w:val="0"/>
            <w:vAlign w:val="center"/>
          </w:tcPr>
          <w:p w14:paraId="59CE3E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b w:val="0"/>
                <w:bCs w:val="0"/>
                <w:color w:val="auto"/>
                <w:sz w:val="24"/>
                <w:szCs w:val="24"/>
                <w:highlight w:val="none"/>
                <w:lang w:val="en-US" w:eastAsia="zh-CN"/>
              </w:rPr>
              <w:t>非甲烷总烃</w:t>
            </w:r>
          </w:p>
        </w:tc>
        <w:tc>
          <w:tcPr>
            <w:tcW w:w="1845" w:type="dxa"/>
            <w:noWrap w:val="0"/>
            <w:vAlign w:val="center"/>
          </w:tcPr>
          <w:p w14:paraId="147191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val="en-US" w:eastAsia="zh-CN"/>
              </w:rPr>
              <w:t>脱醇废气自带冷凝回收装置、加强车间通风</w:t>
            </w:r>
          </w:p>
        </w:tc>
        <w:tc>
          <w:tcPr>
            <w:tcW w:w="3121" w:type="dxa"/>
            <w:noWrap w:val="0"/>
            <w:vAlign w:val="center"/>
          </w:tcPr>
          <w:p w14:paraId="4B3C99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b w:val="0"/>
                <w:bCs w:val="0"/>
                <w:color w:val="auto"/>
                <w:sz w:val="24"/>
                <w:szCs w:val="24"/>
                <w:highlight w:val="none"/>
                <w:lang w:val="en-US" w:eastAsia="zh-CN"/>
              </w:rPr>
              <w:t>《挥发性有机物无组织排放控制标准》（GB 37822-2019）表A.1厂区内VOCs无组织排放限值</w:t>
            </w:r>
          </w:p>
        </w:tc>
      </w:tr>
      <w:tr w14:paraId="3A715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223" w:type="dxa"/>
            <w:vMerge w:val="continue"/>
            <w:noWrap w:val="0"/>
            <w:vAlign w:val="center"/>
          </w:tcPr>
          <w:p w14:paraId="5E8351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rPr>
            </w:pPr>
          </w:p>
        </w:tc>
        <w:tc>
          <w:tcPr>
            <w:tcW w:w="1727" w:type="dxa"/>
            <w:vMerge w:val="restart"/>
            <w:noWrap w:val="0"/>
            <w:vAlign w:val="center"/>
          </w:tcPr>
          <w:p w14:paraId="29A8B4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 w:val="0"/>
                <w:bCs/>
                <w:color w:val="auto"/>
                <w:kern w:val="0"/>
                <w:sz w:val="24"/>
                <w:szCs w:val="24"/>
                <w:highlight w:val="none"/>
                <w:lang w:val="en-US" w:eastAsia="zh-CN" w:bidi="ar-SA"/>
              </w:rPr>
            </w:pPr>
            <w:r>
              <w:rPr>
                <w:rFonts w:hint="eastAsia" w:cs="宋体"/>
                <w:b w:val="0"/>
                <w:bCs/>
                <w:color w:val="auto"/>
                <w:kern w:val="0"/>
                <w:sz w:val="24"/>
                <w:szCs w:val="24"/>
                <w:highlight w:val="none"/>
                <w:lang w:val="en-US" w:eastAsia="zh-CN" w:bidi="ar-SA"/>
              </w:rPr>
              <w:t>厂界无组织废气</w:t>
            </w:r>
          </w:p>
        </w:tc>
        <w:tc>
          <w:tcPr>
            <w:tcW w:w="2173" w:type="dxa"/>
            <w:noWrap w:val="0"/>
            <w:vAlign w:val="center"/>
          </w:tcPr>
          <w:p w14:paraId="2D3481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臭气浓度、硫化氢、氨气</w:t>
            </w:r>
          </w:p>
        </w:tc>
        <w:tc>
          <w:tcPr>
            <w:tcW w:w="1845" w:type="dxa"/>
            <w:vMerge w:val="restart"/>
            <w:noWrap w:val="0"/>
            <w:vAlign w:val="center"/>
          </w:tcPr>
          <w:p w14:paraId="78B808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 w:val="24"/>
                <w:szCs w:val="24"/>
                <w:highlight w:val="none"/>
                <w:lang w:val="en-US" w:eastAsia="zh-CN"/>
              </w:rPr>
            </w:pPr>
            <w:r>
              <w:rPr>
                <w:rFonts w:hint="eastAsia" w:cs="宋体"/>
                <w:color w:val="auto"/>
                <w:sz w:val="24"/>
                <w:szCs w:val="24"/>
                <w:highlight w:val="none"/>
                <w:lang w:val="en-US" w:eastAsia="zh-CN"/>
              </w:rPr>
              <w:t>加强车间通风</w:t>
            </w:r>
          </w:p>
        </w:tc>
        <w:tc>
          <w:tcPr>
            <w:tcW w:w="3121" w:type="dxa"/>
            <w:noWrap w:val="0"/>
            <w:vAlign w:val="center"/>
          </w:tcPr>
          <w:p w14:paraId="204131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 w:val="24"/>
                <w:szCs w:val="24"/>
                <w:highlight w:val="none"/>
                <w:lang w:val="en-US" w:eastAsia="zh-CN"/>
              </w:rPr>
            </w:pPr>
            <w:r>
              <w:rPr>
                <w:rFonts w:hint="default" w:ascii="Times New Roman" w:hAnsi="Times New Roman" w:eastAsia="宋体" w:cs="宋体"/>
                <w:color w:val="auto"/>
                <w:sz w:val="24"/>
                <w:szCs w:val="24"/>
                <w:highlight w:val="none"/>
                <w:lang w:val="en-US" w:eastAsia="zh-CN"/>
              </w:rPr>
              <w:t>《恶臭污染物排放标准》（GB14554-93）表1恶臭污染物厂界标准值中二级标准（新扩改建）</w:t>
            </w:r>
          </w:p>
        </w:tc>
      </w:tr>
      <w:tr w14:paraId="64002C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223" w:type="dxa"/>
            <w:vMerge w:val="continue"/>
            <w:noWrap w:val="0"/>
            <w:vAlign w:val="center"/>
          </w:tcPr>
          <w:p w14:paraId="276384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rPr>
            </w:pPr>
          </w:p>
        </w:tc>
        <w:tc>
          <w:tcPr>
            <w:tcW w:w="1727" w:type="dxa"/>
            <w:vMerge w:val="continue"/>
            <w:noWrap w:val="0"/>
            <w:vAlign w:val="center"/>
          </w:tcPr>
          <w:p w14:paraId="1AC9BB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b w:val="0"/>
                <w:bCs/>
                <w:color w:val="auto"/>
                <w:kern w:val="0"/>
                <w:sz w:val="24"/>
                <w:szCs w:val="24"/>
                <w:highlight w:val="none"/>
                <w:lang w:val="en-US" w:eastAsia="zh-CN" w:bidi="ar-SA"/>
              </w:rPr>
            </w:pPr>
          </w:p>
        </w:tc>
        <w:tc>
          <w:tcPr>
            <w:tcW w:w="2173" w:type="dxa"/>
            <w:noWrap w:val="0"/>
            <w:vAlign w:val="center"/>
          </w:tcPr>
          <w:p w14:paraId="09915B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eastAsia="zh-CN"/>
              </w:rPr>
            </w:pPr>
            <w:r>
              <w:rPr>
                <w:rFonts w:hint="eastAsia" w:cs="宋体"/>
                <w:color w:val="auto"/>
                <w:sz w:val="24"/>
                <w:szCs w:val="24"/>
                <w:highlight w:val="none"/>
                <w:lang w:eastAsia="zh-CN"/>
              </w:rPr>
              <w:t>非甲烷总烃</w:t>
            </w:r>
          </w:p>
        </w:tc>
        <w:tc>
          <w:tcPr>
            <w:tcW w:w="1845" w:type="dxa"/>
            <w:vMerge w:val="continue"/>
            <w:noWrap w:val="0"/>
            <w:vAlign w:val="center"/>
          </w:tcPr>
          <w:p w14:paraId="016B8A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 w:val="24"/>
                <w:szCs w:val="24"/>
                <w:highlight w:val="none"/>
                <w:lang w:val="en-US" w:eastAsia="zh-CN"/>
              </w:rPr>
            </w:pPr>
          </w:p>
        </w:tc>
        <w:tc>
          <w:tcPr>
            <w:tcW w:w="3121" w:type="dxa"/>
            <w:noWrap w:val="0"/>
            <w:vAlign w:val="center"/>
          </w:tcPr>
          <w:p w14:paraId="2AEB51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 w:val="24"/>
                <w:szCs w:val="24"/>
                <w:highlight w:val="none"/>
              </w:rPr>
            </w:pPr>
            <w:r>
              <w:rPr>
                <w:rFonts w:hint="default" w:ascii="Times New Roman" w:hAnsi="Times New Roman" w:eastAsia="宋体" w:cs="宋体"/>
                <w:color w:val="auto"/>
                <w:sz w:val="24"/>
                <w:szCs w:val="24"/>
                <w:highlight w:val="none"/>
              </w:rPr>
              <w:t>《大气污染物综合排放标准》（GB16297-1996）表2无组织</w:t>
            </w:r>
          </w:p>
        </w:tc>
      </w:tr>
      <w:tr w14:paraId="5CB3C2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223" w:type="dxa"/>
            <w:vMerge w:val="restart"/>
            <w:noWrap w:val="0"/>
            <w:vAlign w:val="center"/>
          </w:tcPr>
          <w:p w14:paraId="3F5BF3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地表水环境</w:t>
            </w:r>
          </w:p>
        </w:tc>
        <w:tc>
          <w:tcPr>
            <w:tcW w:w="1727" w:type="dxa"/>
            <w:noWrap w:val="0"/>
            <w:vAlign w:val="center"/>
          </w:tcPr>
          <w:p w14:paraId="5B7E17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 w:val="24"/>
                <w:szCs w:val="24"/>
                <w:highlight w:val="none"/>
                <w:lang w:val="en-US" w:eastAsia="zh-CN"/>
              </w:rPr>
            </w:pPr>
            <w:r>
              <w:rPr>
                <w:rFonts w:hint="eastAsia" w:cs="宋体"/>
                <w:color w:val="auto"/>
                <w:sz w:val="24"/>
                <w:szCs w:val="24"/>
                <w:highlight w:val="none"/>
                <w:lang w:val="en-US" w:eastAsia="zh-CN"/>
              </w:rPr>
              <w:t>生活污水、剩余少量纯水制备浓水</w:t>
            </w:r>
          </w:p>
        </w:tc>
        <w:tc>
          <w:tcPr>
            <w:tcW w:w="2173" w:type="dxa"/>
            <w:vMerge w:val="restart"/>
            <w:noWrap w:val="0"/>
            <w:vAlign w:val="center"/>
          </w:tcPr>
          <w:p w14:paraId="775DC3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val="0"/>
                <w:color w:val="auto"/>
                <w:kern w:val="2"/>
                <w:sz w:val="24"/>
                <w:szCs w:val="24"/>
                <w:highlight w:val="none"/>
                <w:lang w:val="en-US" w:eastAsia="zh-CN" w:bidi="ar-SA"/>
              </w:rPr>
            </w:pPr>
            <w:r>
              <w:rPr>
                <w:rFonts w:hint="eastAsia" w:cs="宋体"/>
                <w:color w:val="auto"/>
                <w:sz w:val="24"/>
                <w:szCs w:val="24"/>
                <w:highlight w:val="none"/>
                <w:lang w:val="en-US" w:eastAsia="zh-CN"/>
              </w:rPr>
              <w:t>pH、</w:t>
            </w:r>
            <w:r>
              <w:rPr>
                <w:rFonts w:hint="eastAsia"/>
                <w:b w:val="0"/>
                <w:bCs w:val="0"/>
                <w:color w:val="auto"/>
                <w:kern w:val="2"/>
                <w:sz w:val="24"/>
                <w:szCs w:val="24"/>
                <w:highlight w:val="none"/>
                <w:lang w:val="en-US" w:eastAsia="zh-CN" w:bidi="ar-SA"/>
              </w:rPr>
              <w:t>COD、BOD</w:t>
            </w:r>
            <w:r>
              <w:rPr>
                <w:rFonts w:hint="eastAsia"/>
                <w:b w:val="0"/>
                <w:bCs w:val="0"/>
                <w:color w:val="auto"/>
                <w:kern w:val="2"/>
                <w:sz w:val="24"/>
                <w:szCs w:val="24"/>
                <w:highlight w:val="none"/>
                <w:vertAlign w:val="subscript"/>
                <w:lang w:val="en-US" w:eastAsia="zh-CN" w:bidi="ar-SA"/>
              </w:rPr>
              <w:t>5</w:t>
            </w:r>
            <w:r>
              <w:rPr>
                <w:rFonts w:hint="eastAsia"/>
                <w:b w:val="0"/>
                <w:bCs w:val="0"/>
                <w:color w:val="auto"/>
                <w:kern w:val="2"/>
                <w:sz w:val="24"/>
                <w:szCs w:val="24"/>
                <w:highlight w:val="none"/>
                <w:lang w:val="en-US" w:eastAsia="zh-CN" w:bidi="ar-SA"/>
              </w:rPr>
              <w:t>、悬浮物、氨氮、总磷、总氮</w:t>
            </w:r>
          </w:p>
        </w:tc>
        <w:tc>
          <w:tcPr>
            <w:tcW w:w="1845" w:type="dxa"/>
            <w:noWrap w:val="0"/>
            <w:vAlign w:val="center"/>
          </w:tcPr>
          <w:p w14:paraId="6048C2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color w:val="auto"/>
                <w:sz w:val="24"/>
                <w:szCs w:val="24"/>
                <w:highlight w:val="none"/>
                <w:lang w:val="en-US" w:eastAsia="zh-CN"/>
              </w:rPr>
            </w:pPr>
            <w:r>
              <w:rPr>
                <w:rFonts w:hint="eastAsia" w:cs="宋体"/>
                <w:color w:val="auto"/>
                <w:sz w:val="24"/>
                <w:szCs w:val="24"/>
                <w:highlight w:val="none"/>
                <w:lang w:val="en-US" w:eastAsia="zh-CN"/>
              </w:rPr>
              <w:t>依托化粪池处理后，最终排入佛坪县污水处理厂</w:t>
            </w:r>
          </w:p>
        </w:tc>
        <w:tc>
          <w:tcPr>
            <w:tcW w:w="3121" w:type="dxa"/>
            <w:noWrap w:val="0"/>
            <w:vAlign w:val="center"/>
          </w:tcPr>
          <w:p w14:paraId="163ED4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rPr>
            </w:pPr>
            <w:r>
              <w:rPr>
                <w:rFonts w:hint="eastAsia" w:ascii="Times New Roman" w:hAnsi="Times New Roman" w:eastAsia="宋体"/>
                <w:b w:val="0"/>
                <w:bCs w:val="0"/>
                <w:color w:val="auto"/>
                <w:sz w:val="24"/>
                <w:szCs w:val="24"/>
                <w:highlight w:val="none"/>
                <w:lang w:val="en-US" w:eastAsia="zh-CN"/>
              </w:rPr>
              <w:t>《污水综合排放标准》（</w:t>
            </w:r>
            <w:r>
              <w:rPr>
                <w:rFonts w:hint="default" w:ascii="Times New Roman" w:hAnsi="Times New Roman" w:eastAsia="宋体"/>
                <w:b w:val="0"/>
                <w:bCs w:val="0"/>
                <w:color w:val="auto"/>
                <w:sz w:val="24"/>
                <w:szCs w:val="24"/>
                <w:highlight w:val="none"/>
                <w:lang w:val="en-US" w:eastAsia="zh-CN"/>
              </w:rPr>
              <w:t>GB8978</w:t>
            </w:r>
            <w:r>
              <w:rPr>
                <w:rFonts w:hint="eastAsia" w:ascii="Times New Roman" w:hAnsi="Times New Roman" w:eastAsia="宋体"/>
                <w:b w:val="0"/>
                <w:bCs w:val="0"/>
                <w:color w:val="auto"/>
                <w:sz w:val="24"/>
                <w:szCs w:val="24"/>
                <w:highlight w:val="none"/>
                <w:lang w:val="en-US" w:eastAsia="zh-CN"/>
              </w:rPr>
              <w:t>-</w:t>
            </w:r>
            <w:r>
              <w:rPr>
                <w:rFonts w:hint="default" w:ascii="Times New Roman" w:hAnsi="Times New Roman" w:eastAsia="宋体"/>
                <w:b w:val="0"/>
                <w:bCs w:val="0"/>
                <w:color w:val="auto"/>
                <w:sz w:val="24"/>
                <w:szCs w:val="24"/>
                <w:highlight w:val="none"/>
                <w:lang w:val="en-US" w:eastAsia="zh-CN"/>
              </w:rPr>
              <w:t>1996</w:t>
            </w:r>
            <w:r>
              <w:rPr>
                <w:rFonts w:hint="eastAsia" w:ascii="Times New Roman" w:hAnsi="Times New Roman" w:eastAsia="宋体"/>
                <w:b w:val="0"/>
                <w:bCs w:val="0"/>
                <w:color w:val="auto"/>
                <w:sz w:val="24"/>
                <w:szCs w:val="24"/>
                <w:highlight w:val="none"/>
                <w:lang w:val="en-US" w:eastAsia="zh-CN"/>
              </w:rPr>
              <w:t>）</w:t>
            </w:r>
            <w:r>
              <w:rPr>
                <w:rFonts w:hint="eastAsia"/>
                <w:b w:val="0"/>
                <w:bCs w:val="0"/>
                <w:color w:val="auto"/>
                <w:sz w:val="24"/>
                <w:szCs w:val="24"/>
                <w:highlight w:val="none"/>
                <w:lang w:val="en-US" w:eastAsia="zh-CN"/>
              </w:rPr>
              <w:t>表4</w:t>
            </w:r>
            <w:r>
              <w:rPr>
                <w:rFonts w:hint="eastAsia" w:ascii="Times New Roman" w:hAnsi="Times New Roman" w:eastAsia="宋体"/>
                <w:b w:val="0"/>
                <w:bCs w:val="0"/>
                <w:color w:val="auto"/>
                <w:sz w:val="24"/>
                <w:szCs w:val="24"/>
                <w:highlight w:val="none"/>
                <w:lang w:val="en-US" w:eastAsia="zh-CN"/>
              </w:rPr>
              <w:t>三级</w:t>
            </w:r>
            <w:r>
              <w:rPr>
                <w:rFonts w:hint="eastAsia"/>
                <w:b w:val="0"/>
                <w:bCs w:val="0"/>
                <w:color w:val="auto"/>
                <w:sz w:val="24"/>
                <w:szCs w:val="24"/>
                <w:highlight w:val="none"/>
                <w:lang w:val="en-US" w:eastAsia="zh-CN"/>
              </w:rPr>
              <w:t>、</w:t>
            </w:r>
            <w:r>
              <w:rPr>
                <w:rFonts w:hint="eastAsia" w:ascii="Times New Roman" w:hAnsi="Times New Roman" w:eastAsia="宋体"/>
                <w:b w:val="0"/>
                <w:bCs w:val="0"/>
                <w:color w:val="auto"/>
                <w:sz w:val="24"/>
                <w:szCs w:val="24"/>
                <w:highlight w:val="none"/>
                <w:lang w:val="en-US" w:eastAsia="zh-CN"/>
              </w:rPr>
              <w:t>《污水排入城镇下水道水质标准》（</w:t>
            </w:r>
            <w:r>
              <w:rPr>
                <w:rFonts w:hint="default" w:ascii="Times New Roman" w:hAnsi="Times New Roman" w:eastAsia="宋体"/>
                <w:b w:val="0"/>
                <w:bCs w:val="0"/>
                <w:color w:val="auto"/>
                <w:sz w:val="24"/>
                <w:szCs w:val="24"/>
                <w:highlight w:val="none"/>
                <w:lang w:val="en-US" w:eastAsia="zh-CN"/>
              </w:rPr>
              <w:t>GB/T31962</w:t>
            </w:r>
            <w:r>
              <w:rPr>
                <w:rFonts w:hint="eastAsia" w:ascii="Times New Roman" w:hAnsi="Times New Roman" w:eastAsia="宋体"/>
                <w:b w:val="0"/>
                <w:bCs w:val="0"/>
                <w:color w:val="auto"/>
                <w:sz w:val="24"/>
                <w:szCs w:val="24"/>
                <w:highlight w:val="none"/>
                <w:lang w:val="en-US" w:eastAsia="zh-CN"/>
              </w:rPr>
              <w:t>-</w:t>
            </w:r>
            <w:r>
              <w:rPr>
                <w:rFonts w:hint="default" w:ascii="Times New Roman" w:hAnsi="Times New Roman" w:eastAsia="宋体"/>
                <w:b w:val="0"/>
                <w:bCs w:val="0"/>
                <w:color w:val="auto"/>
                <w:sz w:val="24"/>
                <w:szCs w:val="24"/>
                <w:highlight w:val="none"/>
                <w:lang w:val="en-US" w:eastAsia="zh-CN"/>
              </w:rPr>
              <w:t>2015</w:t>
            </w:r>
            <w:r>
              <w:rPr>
                <w:rFonts w:hint="eastAsia" w:ascii="Times New Roman" w:hAnsi="Times New Roman" w:eastAsia="宋体"/>
                <w:b w:val="0"/>
                <w:bCs w:val="0"/>
                <w:color w:val="auto"/>
                <w:sz w:val="24"/>
                <w:szCs w:val="24"/>
                <w:highlight w:val="none"/>
                <w:lang w:val="en-US" w:eastAsia="zh-CN"/>
              </w:rPr>
              <w:t>）</w:t>
            </w:r>
            <w:r>
              <w:rPr>
                <w:rFonts w:hint="eastAsia"/>
                <w:b w:val="0"/>
                <w:bCs w:val="0"/>
                <w:color w:val="auto"/>
                <w:sz w:val="24"/>
                <w:szCs w:val="24"/>
                <w:highlight w:val="none"/>
                <w:lang w:val="en-US" w:eastAsia="zh-CN"/>
              </w:rPr>
              <w:t>表2中B</w:t>
            </w:r>
            <w:r>
              <w:rPr>
                <w:rFonts w:hint="eastAsia" w:ascii="Times New Roman" w:hAnsi="Times New Roman" w:eastAsia="宋体"/>
                <w:b w:val="0"/>
                <w:bCs w:val="0"/>
                <w:color w:val="auto"/>
                <w:sz w:val="24"/>
                <w:szCs w:val="24"/>
                <w:highlight w:val="none"/>
                <w:lang w:val="en-US" w:eastAsia="zh-CN"/>
              </w:rPr>
              <w:t>级标准</w:t>
            </w:r>
          </w:p>
        </w:tc>
      </w:tr>
      <w:tr w14:paraId="2A21F2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223" w:type="dxa"/>
            <w:vMerge w:val="continue"/>
            <w:noWrap w:val="0"/>
            <w:vAlign w:val="center"/>
          </w:tcPr>
          <w:p w14:paraId="76F610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1727" w:type="dxa"/>
            <w:noWrap w:val="0"/>
            <w:vAlign w:val="center"/>
          </w:tcPr>
          <w:p w14:paraId="421BFD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sz w:val="24"/>
                <w:szCs w:val="24"/>
                <w:highlight w:val="none"/>
                <w:lang w:val="en-US" w:eastAsia="zh-CN"/>
              </w:rPr>
            </w:pPr>
            <w:r>
              <w:rPr>
                <w:rFonts w:hint="eastAsia" w:cs="宋体"/>
                <w:color w:val="auto"/>
                <w:sz w:val="24"/>
                <w:szCs w:val="24"/>
                <w:highlight w:val="none"/>
                <w:lang w:val="en-US" w:eastAsia="zh-CN"/>
              </w:rPr>
              <w:t>设备清洗废水、空瓶清洗废水、试验仪器清洗废水、纯水制备浓水</w:t>
            </w:r>
          </w:p>
        </w:tc>
        <w:tc>
          <w:tcPr>
            <w:tcW w:w="2173" w:type="dxa"/>
            <w:vMerge w:val="continue"/>
            <w:noWrap w:val="0"/>
            <w:vAlign w:val="center"/>
          </w:tcPr>
          <w:p w14:paraId="04C1B5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sz w:val="24"/>
                <w:szCs w:val="24"/>
                <w:highlight w:val="none"/>
                <w:lang w:val="en-US" w:eastAsia="zh-CN"/>
              </w:rPr>
            </w:pPr>
          </w:p>
        </w:tc>
        <w:tc>
          <w:tcPr>
            <w:tcW w:w="1845" w:type="dxa"/>
            <w:noWrap w:val="0"/>
            <w:vAlign w:val="center"/>
          </w:tcPr>
          <w:p w14:paraId="387444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sz w:val="24"/>
                <w:szCs w:val="24"/>
                <w:highlight w:val="none"/>
                <w:lang w:val="en-US" w:eastAsia="zh-CN"/>
              </w:rPr>
            </w:pPr>
            <w:r>
              <w:rPr>
                <w:rFonts w:hint="eastAsia" w:cs="宋体"/>
                <w:color w:val="auto"/>
                <w:sz w:val="24"/>
                <w:szCs w:val="24"/>
                <w:highlight w:val="none"/>
                <w:lang w:val="en-US" w:eastAsia="zh-CN"/>
              </w:rPr>
              <w:t>废水收集桶收集检测合格符合污水处理厂进水水质要求通过罐车拉运至佛坪县污水处理厂</w:t>
            </w:r>
          </w:p>
        </w:tc>
        <w:tc>
          <w:tcPr>
            <w:tcW w:w="3121" w:type="dxa"/>
            <w:noWrap w:val="0"/>
            <w:vAlign w:val="center"/>
          </w:tcPr>
          <w:p w14:paraId="69459D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sz w:val="24"/>
                <w:szCs w:val="24"/>
                <w:highlight w:val="none"/>
                <w:lang w:val="en-US" w:eastAsia="zh-CN"/>
              </w:rPr>
            </w:pPr>
            <w:r>
              <w:rPr>
                <w:rFonts w:hint="eastAsia"/>
                <w:color w:val="auto"/>
                <w:sz w:val="24"/>
                <w:highlight w:val="none"/>
                <w:lang w:val="en-US" w:eastAsia="zh-CN"/>
              </w:rPr>
              <w:t>COD≤400mg/L；悬浮物≤240mg/L；总氮≤35mg/L；总磷≤5mg/L；PH≤6.5~8.5；BOD</w:t>
            </w:r>
            <w:r>
              <w:rPr>
                <w:rFonts w:hint="eastAsia"/>
                <w:color w:val="auto"/>
                <w:sz w:val="24"/>
                <w:highlight w:val="none"/>
                <w:vertAlign w:val="subscript"/>
                <w:lang w:val="en-US" w:eastAsia="zh-CN"/>
              </w:rPr>
              <w:t>5</w:t>
            </w:r>
            <w:r>
              <w:rPr>
                <w:rFonts w:hint="eastAsia"/>
                <w:color w:val="auto"/>
                <w:sz w:val="24"/>
                <w:highlight w:val="none"/>
                <w:lang w:val="en-US" w:eastAsia="zh-CN"/>
              </w:rPr>
              <w:t>≤190mg/L</w:t>
            </w:r>
          </w:p>
        </w:tc>
      </w:tr>
      <w:tr w14:paraId="4FA61B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3" w:type="dxa"/>
            <w:noWrap w:val="0"/>
            <w:vAlign w:val="center"/>
          </w:tcPr>
          <w:p w14:paraId="0EC88E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声环境</w:t>
            </w:r>
          </w:p>
        </w:tc>
        <w:tc>
          <w:tcPr>
            <w:tcW w:w="1727" w:type="dxa"/>
            <w:noWrap w:val="0"/>
            <w:vAlign w:val="center"/>
          </w:tcPr>
          <w:p w14:paraId="4EEF65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b w:val="0"/>
                <w:bCs w:val="0"/>
                <w:color w:val="auto"/>
                <w:sz w:val="24"/>
                <w:szCs w:val="24"/>
                <w:highlight w:val="none"/>
                <w:lang w:eastAsia="zh-CN"/>
              </w:rPr>
              <w:t>生产设备</w:t>
            </w:r>
            <w:r>
              <w:rPr>
                <w:rFonts w:hint="eastAsia"/>
                <w:b w:val="0"/>
                <w:bCs w:val="0"/>
                <w:color w:val="auto"/>
                <w:sz w:val="24"/>
                <w:szCs w:val="24"/>
                <w:highlight w:val="none"/>
                <w:lang w:eastAsia="zh-CN"/>
              </w:rPr>
              <w:t>、</w:t>
            </w:r>
            <w:r>
              <w:rPr>
                <w:rFonts w:hint="eastAsia"/>
                <w:b w:val="0"/>
                <w:bCs w:val="0"/>
                <w:color w:val="auto"/>
                <w:sz w:val="24"/>
                <w:szCs w:val="24"/>
                <w:highlight w:val="none"/>
                <w:lang w:val="en-US" w:eastAsia="zh-CN"/>
              </w:rPr>
              <w:t>环保设施等</w:t>
            </w:r>
            <w:r>
              <w:rPr>
                <w:rFonts w:hint="eastAsia" w:ascii="Times New Roman" w:hAnsi="Times New Roman" w:eastAsia="宋体"/>
                <w:b w:val="0"/>
                <w:bCs w:val="0"/>
                <w:color w:val="auto"/>
                <w:sz w:val="24"/>
                <w:szCs w:val="24"/>
                <w:highlight w:val="none"/>
                <w:lang w:eastAsia="zh-CN"/>
              </w:rPr>
              <w:t>运行噪声</w:t>
            </w:r>
          </w:p>
        </w:tc>
        <w:tc>
          <w:tcPr>
            <w:tcW w:w="2173" w:type="dxa"/>
            <w:noWrap w:val="0"/>
            <w:vAlign w:val="center"/>
          </w:tcPr>
          <w:p w14:paraId="57C94E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2"/>
                <w:sz w:val="24"/>
                <w:szCs w:val="24"/>
                <w:highlight w:val="none"/>
                <w:lang w:val="en-US" w:eastAsia="zh-CN" w:bidi="ar-SA"/>
              </w:rPr>
            </w:pPr>
            <w:r>
              <w:rPr>
                <w:rFonts w:ascii="Times New Roman" w:hAnsi="Times New Roman" w:eastAsia="宋体"/>
                <w:b w:val="0"/>
                <w:bCs w:val="0"/>
                <w:color w:val="auto"/>
                <w:sz w:val="24"/>
                <w:szCs w:val="24"/>
                <w:highlight w:val="none"/>
              </w:rPr>
              <w:t>等效连续</w:t>
            </w:r>
            <w:r>
              <w:rPr>
                <w:rFonts w:hint="eastAsia" w:ascii="Times New Roman" w:hAnsi="Times New Roman" w:eastAsia="宋体"/>
                <w:b w:val="0"/>
                <w:bCs w:val="0"/>
                <w:color w:val="auto"/>
                <w:sz w:val="24"/>
                <w:szCs w:val="24"/>
                <w:highlight w:val="none"/>
                <w:lang w:val="en-US" w:eastAsia="zh-CN"/>
              </w:rPr>
              <w:t>A</w:t>
            </w:r>
            <w:r>
              <w:rPr>
                <w:rFonts w:ascii="Times New Roman" w:hAnsi="Times New Roman" w:eastAsia="宋体"/>
                <w:b w:val="0"/>
                <w:bCs w:val="0"/>
                <w:color w:val="auto"/>
                <w:sz w:val="24"/>
                <w:szCs w:val="24"/>
                <w:highlight w:val="none"/>
              </w:rPr>
              <w:t>声级</w:t>
            </w:r>
          </w:p>
        </w:tc>
        <w:tc>
          <w:tcPr>
            <w:tcW w:w="1845" w:type="dxa"/>
            <w:noWrap w:val="0"/>
            <w:vAlign w:val="center"/>
          </w:tcPr>
          <w:p w14:paraId="78A757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采用低噪声设备、基础减振及隔声</w:t>
            </w:r>
            <w:r>
              <w:rPr>
                <w:rFonts w:hint="eastAsia" w:cs="Times New Roman"/>
                <w:color w:val="auto"/>
                <w:kern w:val="2"/>
                <w:sz w:val="24"/>
                <w:szCs w:val="24"/>
                <w:highlight w:val="none"/>
                <w:lang w:val="en-US" w:eastAsia="zh-CN" w:bidi="ar-SA"/>
              </w:rPr>
              <w:t>等措施</w:t>
            </w:r>
          </w:p>
        </w:tc>
        <w:tc>
          <w:tcPr>
            <w:tcW w:w="3121" w:type="dxa"/>
            <w:noWrap w:val="0"/>
            <w:vAlign w:val="center"/>
          </w:tcPr>
          <w:p w14:paraId="79519B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b w:val="0"/>
                <w:bCs w:val="0"/>
                <w:color w:val="auto"/>
                <w:sz w:val="24"/>
                <w:szCs w:val="24"/>
                <w:highlight w:val="none"/>
                <w:lang w:val="en-US" w:eastAsia="zh-CN"/>
              </w:rPr>
              <w:t>《工业企业厂界环境噪声排放标准》（</w:t>
            </w:r>
            <w:r>
              <w:rPr>
                <w:rFonts w:hint="default" w:ascii="Times New Roman" w:hAnsi="Times New Roman" w:eastAsia="宋体"/>
                <w:b w:val="0"/>
                <w:bCs w:val="0"/>
                <w:color w:val="auto"/>
                <w:sz w:val="24"/>
                <w:szCs w:val="24"/>
                <w:highlight w:val="none"/>
                <w:lang w:val="en-US" w:eastAsia="zh-CN"/>
              </w:rPr>
              <w:t>GB</w:t>
            </w:r>
            <w:r>
              <w:rPr>
                <w:rFonts w:hint="eastAsia"/>
                <w:b w:val="0"/>
                <w:bCs w:val="0"/>
                <w:color w:val="auto"/>
                <w:sz w:val="24"/>
                <w:szCs w:val="24"/>
                <w:highlight w:val="none"/>
                <w:lang w:val="en-US" w:eastAsia="zh-CN"/>
              </w:rPr>
              <w:t xml:space="preserve"> </w:t>
            </w:r>
            <w:r>
              <w:rPr>
                <w:rFonts w:hint="default" w:ascii="Times New Roman" w:hAnsi="Times New Roman" w:eastAsia="宋体"/>
                <w:b w:val="0"/>
                <w:bCs w:val="0"/>
                <w:color w:val="auto"/>
                <w:sz w:val="24"/>
                <w:szCs w:val="24"/>
                <w:highlight w:val="none"/>
                <w:lang w:val="en-US" w:eastAsia="zh-CN"/>
              </w:rPr>
              <w:t>12348</w:t>
            </w:r>
            <w:r>
              <w:rPr>
                <w:rFonts w:hint="eastAsia" w:ascii="Times New Roman" w:hAnsi="Times New Roman" w:eastAsia="宋体"/>
                <w:b w:val="0"/>
                <w:bCs w:val="0"/>
                <w:color w:val="auto"/>
                <w:sz w:val="24"/>
                <w:szCs w:val="24"/>
                <w:highlight w:val="none"/>
                <w:lang w:val="en-US" w:eastAsia="zh-CN"/>
              </w:rPr>
              <w:t>-</w:t>
            </w:r>
            <w:r>
              <w:rPr>
                <w:rFonts w:hint="default" w:ascii="Times New Roman" w:hAnsi="Times New Roman" w:eastAsia="宋体"/>
                <w:b w:val="0"/>
                <w:bCs w:val="0"/>
                <w:color w:val="auto"/>
                <w:sz w:val="24"/>
                <w:szCs w:val="24"/>
                <w:highlight w:val="none"/>
                <w:lang w:val="en-US" w:eastAsia="zh-CN"/>
              </w:rPr>
              <w:t>2008</w:t>
            </w:r>
            <w:r>
              <w:rPr>
                <w:rFonts w:hint="eastAsia" w:ascii="Times New Roman" w:hAnsi="Times New Roman" w:eastAsia="宋体"/>
                <w:b w:val="0"/>
                <w:bCs w:val="0"/>
                <w:color w:val="auto"/>
                <w:sz w:val="24"/>
                <w:szCs w:val="24"/>
                <w:highlight w:val="none"/>
                <w:lang w:val="en-US" w:eastAsia="zh-CN"/>
              </w:rPr>
              <w:t>）</w:t>
            </w:r>
            <w:r>
              <w:rPr>
                <w:rFonts w:hint="eastAsia"/>
                <w:b w:val="0"/>
                <w:bCs w:val="0"/>
                <w:color w:val="auto"/>
                <w:sz w:val="24"/>
                <w:szCs w:val="24"/>
                <w:highlight w:val="none"/>
                <w:lang w:val="en-US" w:eastAsia="zh-CN"/>
              </w:rPr>
              <w:t>2</w:t>
            </w:r>
            <w:r>
              <w:rPr>
                <w:rFonts w:hint="eastAsia" w:ascii="Times New Roman" w:hAnsi="Times New Roman" w:eastAsia="宋体"/>
                <w:b w:val="0"/>
                <w:bCs w:val="0"/>
                <w:color w:val="auto"/>
                <w:sz w:val="24"/>
                <w:szCs w:val="24"/>
                <w:highlight w:val="none"/>
                <w:lang w:val="en-US" w:eastAsia="zh-CN"/>
              </w:rPr>
              <w:t>类</w:t>
            </w:r>
          </w:p>
        </w:tc>
      </w:tr>
      <w:tr w14:paraId="3D8062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3" w:type="dxa"/>
            <w:vMerge w:val="restart"/>
            <w:noWrap w:val="0"/>
            <w:vAlign w:val="center"/>
          </w:tcPr>
          <w:p w14:paraId="0D720A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eastAsia="zh-CN"/>
              </w:rPr>
            </w:pPr>
            <w:r>
              <w:rPr>
                <w:rFonts w:hint="eastAsia" w:cs="宋体"/>
                <w:color w:val="auto"/>
                <w:sz w:val="24"/>
                <w:szCs w:val="24"/>
                <w:highlight w:val="none"/>
                <w:lang w:eastAsia="zh-CN"/>
              </w:rPr>
              <w:t>固体废物</w:t>
            </w:r>
          </w:p>
        </w:tc>
        <w:tc>
          <w:tcPr>
            <w:tcW w:w="1727" w:type="dxa"/>
            <w:vMerge w:val="restart"/>
            <w:noWrap w:val="0"/>
            <w:vAlign w:val="center"/>
          </w:tcPr>
          <w:p w14:paraId="20D327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cs="宋体"/>
                <w:color w:val="auto"/>
                <w:sz w:val="24"/>
                <w:szCs w:val="24"/>
                <w:highlight w:val="none"/>
                <w:lang w:val="en-US" w:eastAsia="zh-CN"/>
              </w:rPr>
              <w:t>一般工业固废</w:t>
            </w:r>
          </w:p>
        </w:tc>
        <w:tc>
          <w:tcPr>
            <w:tcW w:w="2173" w:type="dxa"/>
            <w:noWrap w:val="0"/>
            <w:vAlign w:val="center"/>
          </w:tcPr>
          <w:p w14:paraId="224278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废包装材料</w:t>
            </w:r>
          </w:p>
        </w:tc>
        <w:tc>
          <w:tcPr>
            <w:tcW w:w="1845" w:type="dxa"/>
            <w:vMerge w:val="restart"/>
            <w:noWrap w:val="0"/>
            <w:vAlign w:val="center"/>
          </w:tcPr>
          <w:p w14:paraId="1B7414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集中</w:t>
            </w:r>
            <w:r>
              <w:rPr>
                <w:rFonts w:hint="eastAsia" w:ascii="Times New Roman" w:hAnsi="Times New Roman" w:eastAsia="宋体" w:cs="Times New Roman"/>
                <w:color w:val="auto"/>
                <w:kern w:val="2"/>
                <w:sz w:val="24"/>
                <w:szCs w:val="24"/>
                <w:highlight w:val="none"/>
                <w:lang w:val="en-US" w:eastAsia="zh-CN" w:bidi="ar-SA"/>
              </w:rPr>
              <w:t>收集暂存于</w:t>
            </w:r>
            <w:r>
              <w:rPr>
                <w:rFonts w:hint="default" w:ascii="Times New Roman" w:hAnsi="Times New Roman" w:eastAsia="宋体" w:cs="Times New Roman"/>
                <w:color w:val="auto"/>
                <w:kern w:val="2"/>
                <w:sz w:val="24"/>
                <w:szCs w:val="24"/>
                <w:highlight w:val="none"/>
                <w:lang w:val="en-US" w:eastAsia="zh-CN" w:bidi="ar-SA"/>
              </w:rPr>
              <w:t>一般固废暂存</w:t>
            </w:r>
            <w:r>
              <w:rPr>
                <w:rFonts w:hint="eastAsia" w:cs="Times New Roman"/>
                <w:color w:val="auto"/>
                <w:kern w:val="2"/>
                <w:sz w:val="24"/>
                <w:szCs w:val="24"/>
                <w:highlight w:val="none"/>
                <w:lang w:val="en-US" w:eastAsia="zh-CN" w:bidi="ar-SA"/>
              </w:rPr>
              <w:t>间</w:t>
            </w:r>
            <w:r>
              <w:rPr>
                <w:rFonts w:hint="default" w:ascii="Times New Roman" w:hAnsi="Times New Roman" w:eastAsia="宋体" w:cs="Times New Roman"/>
                <w:color w:val="auto"/>
                <w:kern w:val="2"/>
                <w:sz w:val="24"/>
                <w:szCs w:val="24"/>
                <w:highlight w:val="none"/>
                <w:lang w:val="en-US" w:eastAsia="zh-CN" w:bidi="ar-SA"/>
              </w:rPr>
              <w:t>，定期外售</w:t>
            </w:r>
          </w:p>
        </w:tc>
        <w:tc>
          <w:tcPr>
            <w:tcW w:w="3121" w:type="dxa"/>
            <w:vMerge w:val="restart"/>
            <w:noWrap w:val="0"/>
            <w:vAlign w:val="center"/>
          </w:tcPr>
          <w:p w14:paraId="0654BA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cs="宋体"/>
                <w:color w:val="auto"/>
                <w:sz w:val="24"/>
                <w:szCs w:val="24"/>
                <w:highlight w:val="none"/>
                <w:lang w:val="en-US" w:eastAsia="zh-CN"/>
              </w:rPr>
              <w:t>/</w:t>
            </w:r>
          </w:p>
        </w:tc>
      </w:tr>
      <w:tr w14:paraId="3711BF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3" w:type="dxa"/>
            <w:vMerge w:val="continue"/>
            <w:noWrap w:val="0"/>
            <w:vAlign w:val="center"/>
          </w:tcPr>
          <w:p w14:paraId="57CF8E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727" w:type="dxa"/>
            <w:vMerge w:val="continue"/>
            <w:noWrap w:val="0"/>
            <w:vAlign w:val="center"/>
          </w:tcPr>
          <w:p w14:paraId="51C8D6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p>
        </w:tc>
        <w:tc>
          <w:tcPr>
            <w:tcW w:w="2173" w:type="dxa"/>
            <w:noWrap w:val="0"/>
            <w:vAlign w:val="center"/>
          </w:tcPr>
          <w:p w14:paraId="33D300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过滤残渣、</w:t>
            </w:r>
            <w:r>
              <w:rPr>
                <w:rFonts w:hint="eastAsia" w:cs="宋体"/>
                <w:color w:val="auto"/>
                <w:sz w:val="24"/>
                <w:szCs w:val="24"/>
                <w:highlight w:val="none"/>
                <w:lang w:val="en-US" w:eastAsia="zh-CN"/>
              </w:rPr>
              <w:t>废烂</w:t>
            </w:r>
            <w:r>
              <w:rPr>
                <w:rFonts w:hint="eastAsia" w:ascii="Times New Roman" w:hAnsi="Times New Roman" w:eastAsia="宋体" w:cs="宋体"/>
                <w:color w:val="auto"/>
                <w:sz w:val="24"/>
                <w:szCs w:val="24"/>
                <w:highlight w:val="none"/>
                <w:lang w:val="en-US" w:eastAsia="zh-CN"/>
              </w:rPr>
              <w:t>果品</w:t>
            </w:r>
          </w:p>
        </w:tc>
        <w:tc>
          <w:tcPr>
            <w:tcW w:w="1845" w:type="dxa"/>
            <w:vMerge w:val="continue"/>
            <w:noWrap w:val="0"/>
            <w:vAlign w:val="center"/>
          </w:tcPr>
          <w:p w14:paraId="33A67C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kern w:val="2"/>
                <w:sz w:val="24"/>
                <w:szCs w:val="24"/>
                <w:highlight w:val="none"/>
                <w:lang w:val="en-US" w:eastAsia="zh-CN" w:bidi="ar-SA"/>
              </w:rPr>
            </w:pPr>
          </w:p>
        </w:tc>
        <w:tc>
          <w:tcPr>
            <w:tcW w:w="3121" w:type="dxa"/>
            <w:vMerge w:val="continue"/>
            <w:noWrap w:val="0"/>
            <w:vAlign w:val="center"/>
          </w:tcPr>
          <w:p w14:paraId="2B9CE8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p>
        </w:tc>
      </w:tr>
      <w:tr w14:paraId="20CCEA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3" w:type="dxa"/>
            <w:vMerge w:val="continue"/>
            <w:noWrap w:val="0"/>
            <w:vAlign w:val="center"/>
          </w:tcPr>
          <w:p w14:paraId="0EAA37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727" w:type="dxa"/>
            <w:vMerge w:val="continue"/>
            <w:noWrap w:val="0"/>
            <w:vAlign w:val="center"/>
          </w:tcPr>
          <w:p w14:paraId="3FF119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p>
        </w:tc>
        <w:tc>
          <w:tcPr>
            <w:tcW w:w="2173" w:type="dxa"/>
            <w:noWrap w:val="0"/>
            <w:vAlign w:val="center"/>
          </w:tcPr>
          <w:p w14:paraId="52193A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废滤料、滤芯、RO膜</w:t>
            </w:r>
          </w:p>
        </w:tc>
        <w:tc>
          <w:tcPr>
            <w:tcW w:w="1845" w:type="dxa"/>
            <w:noWrap w:val="0"/>
            <w:vAlign w:val="center"/>
          </w:tcPr>
          <w:p w14:paraId="5F93F4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kern w:val="2"/>
                <w:sz w:val="24"/>
                <w:szCs w:val="24"/>
                <w:highlight w:val="none"/>
                <w:lang w:val="en-US" w:eastAsia="zh-CN" w:bidi="ar-SA"/>
              </w:rPr>
            </w:pPr>
            <w:r>
              <w:rPr>
                <w:rFonts w:hint="eastAsia" w:ascii="Times New Roman" w:hAnsi="Times New Roman" w:eastAsia="宋体" w:cs="Times New Roman"/>
                <w:bCs/>
                <w:color w:val="auto"/>
                <w:sz w:val="24"/>
                <w:szCs w:val="20"/>
                <w:lang w:eastAsia="zh-CN"/>
              </w:rPr>
              <w:t>由供应商进行回收处理</w:t>
            </w:r>
          </w:p>
        </w:tc>
        <w:tc>
          <w:tcPr>
            <w:tcW w:w="3121" w:type="dxa"/>
            <w:vMerge w:val="continue"/>
            <w:noWrap w:val="0"/>
            <w:vAlign w:val="center"/>
          </w:tcPr>
          <w:p w14:paraId="1F7F30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p>
        </w:tc>
      </w:tr>
      <w:tr w14:paraId="5C8E53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223" w:type="dxa"/>
            <w:vMerge w:val="continue"/>
            <w:noWrap w:val="0"/>
            <w:vAlign w:val="center"/>
          </w:tcPr>
          <w:p w14:paraId="1FC495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sz w:val="24"/>
                <w:szCs w:val="24"/>
                <w:highlight w:val="none"/>
                <w:lang w:eastAsia="zh-CN"/>
              </w:rPr>
            </w:pPr>
          </w:p>
        </w:tc>
        <w:tc>
          <w:tcPr>
            <w:tcW w:w="1727" w:type="dxa"/>
            <w:vMerge w:val="restart"/>
            <w:noWrap w:val="0"/>
            <w:vAlign w:val="center"/>
          </w:tcPr>
          <w:p w14:paraId="7FCDA1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cs="宋体"/>
                <w:color w:val="auto"/>
                <w:sz w:val="24"/>
                <w:szCs w:val="24"/>
                <w:highlight w:val="none"/>
                <w:lang w:val="en-US" w:eastAsia="zh-CN"/>
              </w:rPr>
              <w:t>危险废物</w:t>
            </w:r>
          </w:p>
        </w:tc>
        <w:tc>
          <w:tcPr>
            <w:tcW w:w="2173" w:type="dxa"/>
            <w:noWrap w:val="0"/>
            <w:vAlign w:val="center"/>
          </w:tcPr>
          <w:p w14:paraId="0C1F95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检验废液</w:t>
            </w:r>
          </w:p>
        </w:tc>
        <w:tc>
          <w:tcPr>
            <w:tcW w:w="1845" w:type="dxa"/>
            <w:vMerge w:val="restart"/>
            <w:noWrap w:val="0"/>
            <w:vAlign w:val="center"/>
          </w:tcPr>
          <w:p w14:paraId="09961A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default" w:cs="Times New Roman"/>
                <w:color w:val="auto"/>
                <w:kern w:val="2"/>
                <w:sz w:val="24"/>
                <w:szCs w:val="24"/>
                <w:highlight w:val="none"/>
                <w:lang w:val="en-US" w:eastAsia="zh-CN" w:bidi="ar-SA"/>
              </w:rPr>
              <w:t>采用密闭周转桶、防渗托盘，</w:t>
            </w:r>
            <w:r>
              <w:rPr>
                <w:rFonts w:hint="eastAsia" w:cs="Times New Roman"/>
                <w:color w:val="auto"/>
                <w:kern w:val="2"/>
                <w:sz w:val="24"/>
                <w:szCs w:val="24"/>
                <w:highlight w:val="none"/>
                <w:lang w:val="en-US" w:eastAsia="zh-CN" w:bidi="ar-SA"/>
              </w:rPr>
              <w:t>产生后及时</w:t>
            </w:r>
            <w:r>
              <w:rPr>
                <w:rFonts w:hint="default" w:cs="Times New Roman"/>
                <w:color w:val="auto"/>
                <w:kern w:val="2"/>
                <w:sz w:val="24"/>
                <w:szCs w:val="24"/>
                <w:highlight w:val="none"/>
                <w:lang w:val="en-US" w:eastAsia="zh-CN" w:bidi="ar-SA"/>
              </w:rPr>
              <w:t>委托有资质单位转运处置，不得</w:t>
            </w:r>
            <w:r>
              <w:rPr>
                <w:rFonts w:hint="eastAsia" w:cs="Times New Roman"/>
                <w:color w:val="auto"/>
                <w:kern w:val="2"/>
                <w:sz w:val="24"/>
                <w:szCs w:val="24"/>
                <w:highlight w:val="none"/>
                <w:lang w:val="en-US" w:eastAsia="zh-CN" w:bidi="ar-SA"/>
              </w:rPr>
              <w:t>在厂</w:t>
            </w:r>
            <w:r>
              <w:rPr>
                <w:rFonts w:hint="default" w:cs="Times New Roman"/>
                <w:color w:val="auto"/>
                <w:kern w:val="2"/>
                <w:sz w:val="24"/>
                <w:szCs w:val="24"/>
                <w:highlight w:val="none"/>
                <w:lang w:val="en-US" w:eastAsia="zh-CN" w:bidi="ar-SA"/>
              </w:rPr>
              <w:t>内长期暂存</w:t>
            </w:r>
          </w:p>
        </w:tc>
        <w:tc>
          <w:tcPr>
            <w:tcW w:w="3121" w:type="dxa"/>
            <w:vMerge w:val="restart"/>
            <w:noWrap w:val="0"/>
            <w:vAlign w:val="center"/>
          </w:tcPr>
          <w:p w14:paraId="518915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《危险废物贮存污染控制标准》（GB 18597-2023）</w:t>
            </w:r>
          </w:p>
        </w:tc>
      </w:tr>
      <w:tr w14:paraId="2DED55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223" w:type="dxa"/>
            <w:vMerge w:val="continue"/>
            <w:noWrap w:val="0"/>
            <w:vAlign w:val="center"/>
          </w:tcPr>
          <w:p w14:paraId="038356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p>
        </w:tc>
        <w:tc>
          <w:tcPr>
            <w:tcW w:w="1727" w:type="dxa"/>
            <w:vMerge w:val="continue"/>
            <w:noWrap w:val="0"/>
            <w:vAlign w:val="center"/>
          </w:tcPr>
          <w:p w14:paraId="7ED646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p>
        </w:tc>
        <w:tc>
          <w:tcPr>
            <w:tcW w:w="2173" w:type="dxa"/>
            <w:noWrap w:val="0"/>
            <w:vAlign w:val="center"/>
          </w:tcPr>
          <w:p w14:paraId="35C7D4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废机油</w:t>
            </w:r>
          </w:p>
        </w:tc>
        <w:tc>
          <w:tcPr>
            <w:tcW w:w="1845" w:type="dxa"/>
            <w:vMerge w:val="continue"/>
            <w:noWrap w:val="0"/>
            <w:vAlign w:val="center"/>
          </w:tcPr>
          <w:p w14:paraId="0BBFCD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p>
        </w:tc>
        <w:tc>
          <w:tcPr>
            <w:tcW w:w="3121" w:type="dxa"/>
            <w:vMerge w:val="continue"/>
            <w:noWrap w:val="0"/>
            <w:vAlign w:val="center"/>
          </w:tcPr>
          <w:p w14:paraId="4BAABB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p>
        </w:tc>
      </w:tr>
      <w:tr w14:paraId="3423B0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3" w:type="dxa"/>
            <w:vMerge w:val="continue"/>
            <w:noWrap w:val="0"/>
            <w:vAlign w:val="center"/>
          </w:tcPr>
          <w:p w14:paraId="55C16D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p>
        </w:tc>
        <w:tc>
          <w:tcPr>
            <w:tcW w:w="1727" w:type="dxa"/>
            <w:vMerge w:val="continue"/>
            <w:noWrap w:val="0"/>
            <w:vAlign w:val="center"/>
          </w:tcPr>
          <w:p w14:paraId="242ED0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p>
        </w:tc>
        <w:tc>
          <w:tcPr>
            <w:tcW w:w="2173" w:type="dxa"/>
            <w:noWrap w:val="0"/>
            <w:vAlign w:val="center"/>
          </w:tcPr>
          <w:p w14:paraId="0CDEC4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cs="宋体"/>
                <w:color w:val="auto"/>
                <w:sz w:val="24"/>
                <w:szCs w:val="24"/>
                <w:highlight w:val="none"/>
                <w:lang w:val="en-US" w:eastAsia="zh-CN"/>
              </w:rPr>
              <w:t>废油桶</w:t>
            </w:r>
          </w:p>
        </w:tc>
        <w:tc>
          <w:tcPr>
            <w:tcW w:w="1845" w:type="dxa"/>
            <w:vMerge w:val="continue"/>
            <w:noWrap w:val="0"/>
            <w:vAlign w:val="center"/>
          </w:tcPr>
          <w:p w14:paraId="57CED4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p>
        </w:tc>
        <w:tc>
          <w:tcPr>
            <w:tcW w:w="3121" w:type="dxa"/>
            <w:vMerge w:val="continue"/>
            <w:noWrap w:val="0"/>
            <w:vAlign w:val="center"/>
          </w:tcPr>
          <w:p w14:paraId="2E78C3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p>
        </w:tc>
      </w:tr>
      <w:tr w14:paraId="08E87D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223" w:type="dxa"/>
            <w:noWrap w:val="0"/>
            <w:vAlign w:val="center"/>
          </w:tcPr>
          <w:p w14:paraId="4C4BA6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电磁辐射</w:t>
            </w:r>
          </w:p>
        </w:tc>
        <w:tc>
          <w:tcPr>
            <w:tcW w:w="1727" w:type="dxa"/>
            <w:noWrap w:val="0"/>
            <w:vAlign w:val="center"/>
          </w:tcPr>
          <w:p w14:paraId="5CD5BF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w:t>
            </w:r>
          </w:p>
        </w:tc>
        <w:tc>
          <w:tcPr>
            <w:tcW w:w="2173" w:type="dxa"/>
            <w:noWrap w:val="0"/>
            <w:vAlign w:val="center"/>
          </w:tcPr>
          <w:p w14:paraId="58CB93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w:t>
            </w:r>
          </w:p>
        </w:tc>
        <w:tc>
          <w:tcPr>
            <w:tcW w:w="1845" w:type="dxa"/>
            <w:noWrap w:val="0"/>
            <w:vAlign w:val="center"/>
          </w:tcPr>
          <w:p w14:paraId="2BD5E0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w:t>
            </w:r>
          </w:p>
        </w:tc>
        <w:tc>
          <w:tcPr>
            <w:tcW w:w="3121" w:type="dxa"/>
            <w:noWrap w:val="0"/>
            <w:vAlign w:val="center"/>
          </w:tcPr>
          <w:p w14:paraId="553F91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w:t>
            </w:r>
          </w:p>
        </w:tc>
      </w:tr>
      <w:tr w14:paraId="433810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223" w:type="dxa"/>
            <w:noWrap w:val="0"/>
            <w:vAlign w:val="center"/>
          </w:tcPr>
          <w:p w14:paraId="0AE9C4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土壤及地下水污染防治措施</w:t>
            </w:r>
          </w:p>
        </w:tc>
        <w:tc>
          <w:tcPr>
            <w:tcW w:w="8866" w:type="dxa"/>
            <w:gridSpan w:val="4"/>
            <w:noWrap w:val="0"/>
            <w:vAlign w:val="center"/>
          </w:tcPr>
          <w:p w14:paraId="22077F80">
            <w:pPr>
              <w:rPr>
                <w:rFonts w:hint="eastAsia"/>
                <w:color w:val="auto"/>
              </w:rPr>
            </w:pPr>
            <w:r>
              <w:rPr>
                <w:rFonts w:hint="eastAsia" w:ascii="Times New Roman" w:hAnsi="Times New Roman" w:cs="Times New Roman"/>
                <w:b w:val="0"/>
                <w:bCs/>
                <w:color w:val="auto"/>
                <w:sz w:val="24"/>
                <w:szCs w:val="24"/>
                <w:highlight w:val="none"/>
                <w:lang w:val="en-US" w:eastAsia="zh-CN"/>
              </w:rPr>
              <w:t>根据项目污染特点，</w:t>
            </w:r>
            <w:r>
              <w:rPr>
                <w:rFonts w:hint="eastAsia"/>
                <w:color w:val="auto"/>
                <w:sz w:val="24"/>
                <w:szCs w:val="24"/>
                <w:lang w:val="en-US" w:eastAsia="zh-CN"/>
              </w:rPr>
              <w:t>本</w:t>
            </w:r>
            <w:r>
              <w:rPr>
                <w:rFonts w:hint="default"/>
                <w:color w:val="auto"/>
                <w:sz w:val="24"/>
                <w:szCs w:val="24"/>
                <w:lang w:val="en-US" w:eastAsia="zh-CN"/>
              </w:rPr>
              <w:t>项目</w:t>
            </w:r>
            <w:r>
              <w:rPr>
                <w:rFonts w:hint="eastAsia"/>
                <w:color w:val="auto"/>
                <w:sz w:val="24"/>
                <w:szCs w:val="24"/>
                <w:lang w:val="en-US" w:eastAsia="zh-CN"/>
              </w:rPr>
              <w:t>的生产车间及生产厂房周边地面、厂区道路均已采取混凝土硬化处理，</w:t>
            </w:r>
            <w:r>
              <w:rPr>
                <w:rFonts w:hint="eastAsia" w:ascii="Times New Roman" w:hAnsi="Times New Roman" w:cs="Times New Roman"/>
                <w:b w:val="0"/>
                <w:bCs/>
                <w:color w:val="auto"/>
                <w:sz w:val="24"/>
                <w:szCs w:val="24"/>
                <w:highlight w:val="none"/>
                <w:lang w:val="en-US" w:eastAsia="zh-CN"/>
              </w:rPr>
              <w:t>企业</w:t>
            </w:r>
            <w:r>
              <w:rPr>
                <w:rFonts w:hint="default" w:ascii="Times New Roman" w:hAnsi="Times New Roman" w:eastAsia="宋体" w:cs="Times New Roman"/>
                <w:b w:val="0"/>
                <w:bCs/>
                <w:color w:val="auto"/>
                <w:sz w:val="24"/>
                <w:szCs w:val="24"/>
                <w:highlight w:val="none"/>
                <w:lang w:val="en-US" w:eastAsia="zh-CN"/>
              </w:rPr>
              <w:t>针对</w:t>
            </w:r>
            <w:r>
              <w:rPr>
                <w:rFonts w:hint="eastAsia" w:cs="Times New Roman"/>
                <w:b w:val="0"/>
                <w:bCs/>
                <w:color w:val="auto"/>
                <w:sz w:val="24"/>
                <w:szCs w:val="24"/>
                <w:highlight w:val="none"/>
                <w:lang w:val="en-US" w:eastAsia="zh-CN"/>
              </w:rPr>
              <w:t>本</w:t>
            </w:r>
            <w:r>
              <w:rPr>
                <w:rFonts w:hint="eastAsia" w:ascii="Times New Roman" w:hAnsi="Times New Roman" w:cs="Times New Roman"/>
                <w:b w:val="0"/>
                <w:bCs/>
                <w:color w:val="auto"/>
                <w:sz w:val="24"/>
                <w:szCs w:val="24"/>
                <w:highlight w:val="none"/>
                <w:lang w:val="en-US" w:eastAsia="zh-CN"/>
              </w:rPr>
              <w:t>项目</w:t>
            </w:r>
            <w:r>
              <w:rPr>
                <w:rFonts w:hint="default" w:ascii="Times New Roman" w:hAnsi="Times New Roman" w:eastAsia="宋体" w:cs="Times New Roman"/>
                <w:b w:val="0"/>
                <w:bCs/>
                <w:color w:val="auto"/>
                <w:sz w:val="24"/>
                <w:szCs w:val="24"/>
                <w:highlight w:val="none"/>
                <w:lang w:val="en-US" w:eastAsia="zh-CN"/>
              </w:rPr>
              <w:t>污染途径采取分区防渗</w:t>
            </w:r>
            <w:r>
              <w:rPr>
                <w:rFonts w:hint="eastAsia" w:ascii="Times New Roman" w:hAnsi="Times New Roman" w:eastAsia="宋体" w:cs="Times New Roman"/>
                <w:b w:val="0"/>
                <w:bCs/>
                <w:color w:val="auto"/>
                <w:sz w:val="24"/>
                <w:szCs w:val="24"/>
                <w:highlight w:val="none"/>
                <w:lang w:val="en-US" w:eastAsia="zh-CN"/>
              </w:rPr>
              <w:t>措施</w:t>
            </w:r>
            <w:r>
              <w:rPr>
                <w:rFonts w:hint="default" w:ascii="Times New Roman" w:hAnsi="Times New Roman" w:eastAsia="宋体" w:cs="Times New Roman"/>
                <w:b w:val="0"/>
                <w:bCs/>
                <w:color w:val="auto"/>
                <w:sz w:val="24"/>
                <w:szCs w:val="24"/>
                <w:highlight w:val="none"/>
                <w:lang w:val="en-US" w:eastAsia="zh-CN"/>
              </w:rPr>
              <w:t>，</w:t>
            </w:r>
            <w:r>
              <w:rPr>
                <w:rFonts w:hint="eastAsia" w:ascii="Times New Roman" w:hAnsi="Times New Roman" w:cs="Times New Roman"/>
                <w:b w:val="0"/>
                <w:bCs/>
                <w:color w:val="auto"/>
                <w:sz w:val="24"/>
                <w:szCs w:val="24"/>
                <w:highlight w:val="none"/>
                <w:lang w:val="en-US" w:eastAsia="zh-CN"/>
              </w:rPr>
              <w:t>通过加强环境管理，</w:t>
            </w:r>
            <w:r>
              <w:rPr>
                <w:rFonts w:hint="default" w:ascii="Times New Roman" w:hAnsi="Times New Roman" w:eastAsia="宋体" w:cs="Times New Roman"/>
                <w:color w:val="auto"/>
                <w:sz w:val="24"/>
                <w:szCs w:val="24"/>
              </w:rPr>
              <w:t>严格落实本环评提出的防控措施，加强污染物源头控制，做好事故环境风险防范工作，</w:t>
            </w:r>
            <w:r>
              <w:rPr>
                <w:rFonts w:hint="default" w:ascii="Times New Roman" w:hAnsi="Times New Roman" w:eastAsia="宋体" w:cs="Times New Roman"/>
                <w:color w:val="auto"/>
                <w:sz w:val="24"/>
                <w:szCs w:val="24"/>
                <w:lang w:val="en-US" w:eastAsia="zh-CN"/>
              </w:rPr>
              <w:t>在正常生产过程中加强巡检及防渗工程措施检查，</w:t>
            </w:r>
            <w:r>
              <w:rPr>
                <w:rFonts w:hint="default" w:ascii="Times New Roman" w:hAnsi="Times New Roman" w:eastAsia="宋体" w:cs="Times New Roman"/>
                <w:color w:val="auto"/>
                <w:sz w:val="24"/>
                <w:szCs w:val="24"/>
              </w:rPr>
              <w:t>可有效控制厂区内环境风险物质</w:t>
            </w:r>
            <w:r>
              <w:rPr>
                <w:rFonts w:hint="default" w:ascii="Times New Roman" w:hAnsi="Times New Roman" w:eastAsia="宋体" w:cs="Times New Roman"/>
                <w:color w:val="auto"/>
                <w:sz w:val="24"/>
                <w:szCs w:val="24"/>
                <w:lang w:val="en-US" w:eastAsia="zh-CN"/>
              </w:rPr>
              <w:t>泄漏</w:t>
            </w:r>
            <w:r>
              <w:rPr>
                <w:rFonts w:hint="default" w:ascii="Times New Roman" w:hAnsi="Times New Roman" w:eastAsia="宋体" w:cs="Times New Roman"/>
                <w:color w:val="auto"/>
                <w:sz w:val="24"/>
                <w:szCs w:val="24"/>
              </w:rPr>
              <w:t>等</w:t>
            </w:r>
            <w:r>
              <w:rPr>
                <w:rFonts w:hint="default" w:ascii="Times New Roman" w:hAnsi="Times New Roman" w:eastAsia="宋体" w:cs="Times New Roman"/>
                <w:color w:val="auto"/>
                <w:sz w:val="24"/>
                <w:szCs w:val="24"/>
                <w:lang w:val="en-US" w:eastAsia="zh-CN"/>
              </w:rPr>
              <w:t>环境污染</w:t>
            </w:r>
            <w:r>
              <w:rPr>
                <w:rFonts w:hint="default" w:ascii="Times New Roman" w:hAnsi="Times New Roman" w:eastAsia="宋体" w:cs="Times New Roman"/>
                <w:color w:val="auto"/>
                <w:sz w:val="24"/>
                <w:szCs w:val="24"/>
              </w:rPr>
              <w:t>现象，</w:t>
            </w:r>
            <w:r>
              <w:rPr>
                <w:rFonts w:hint="default" w:ascii="Times New Roman" w:hAnsi="Times New Roman" w:eastAsia="宋体" w:cs="Times New Roman"/>
                <w:color w:val="auto"/>
                <w:sz w:val="24"/>
                <w:szCs w:val="24"/>
                <w:lang w:val="en-US" w:eastAsia="zh-CN"/>
              </w:rPr>
              <w:t>正常工况下不会对土壤及地下水造成污染影响，</w:t>
            </w:r>
            <w:r>
              <w:rPr>
                <w:rFonts w:hint="default" w:ascii="Times New Roman" w:hAnsi="Times New Roman" w:eastAsia="宋体" w:cs="Times New Roman"/>
                <w:color w:val="auto"/>
                <w:sz w:val="24"/>
                <w:szCs w:val="24"/>
              </w:rPr>
              <w:t>本项目对周围地下水、土壤环境影响较小</w:t>
            </w:r>
            <w:r>
              <w:rPr>
                <w:rFonts w:hint="eastAsia" w:cs="Times New Roman"/>
                <w:color w:val="auto"/>
                <w:sz w:val="24"/>
                <w:szCs w:val="24"/>
                <w:lang w:eastAsia="zh-CN"/>
              </w:rPr>
              <w:t>，</w:t>
            </w:r>
            <w:r>
              <w:rPr>
                <w:rFonts w:hint="eastAsia" w:cs="Times New Roman"/>
                <w:color w:val="auto"/>
                <w:sz w:val="24"/>
                <w:szCs w:val="24"/>
                <w:lang w:val="en-US" w:eastAsia="zh-CN"/>
              </w:rPr>
              <w:t>本项目不设土壤和地下水跟踪监测计划</w:t>
            </w:r>
            <w:r>
              <w:rPr>
                <w:rFonts w:hint="default" w:ascii="Times New Roman" w:hAnsi="Times New Roman" w:eastAsia="宋体" w:cs="Times New Roman"/>
                <w:color w:val="auto"/>
                <w:sz w:val="24"/>
                <w:szCs w:val="24"/>
              </w:rPr>
              <w:t>。</w:t>
            </w:r>
          </w:p>
        </w:tc>
      </w:tr>
      <w:tr w14:paraId="3143C8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3" w:type="dxa"/>
            <w:noWrap w:val="0"/>
            <w:vAlign w:val="center"/>
          </w:tcPr>
          <w:p w14:paraId="06FF91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生态保护措施</w:t>
            </w:r>
          </w:p>
        </w:tc>
        <w:tc>
          <w:tcPr>
            <w:tcW w:w="8866" w:type="dxa"/>
            <w:gridSpan w:val="4"/>
            <w:noWrap w:val="0"/>
            <w:vAlign w:val="center"/>
          </w:tcPr>
          <w:p w14:paraId="373FA4BF">
            <w:pPr>
              <w:bidi w:val="0"/>
              <w:rPr>
                <w:rFonts w:hint="eastAsia" w:ascii="Times New Roman" w:hAnsi="Times New Roman" w:eastAsia="宋体" w:cs="宋体"/>
                <w:color w:val="auto"/>
                <w:sz w:val="24"/>
                <w:szCs w:val="24"/>
                <w:highlight w:val="none"/>
              </w:rPr>
            </w:pPr>
            <w:r>
              <w:rPr>
                <w:rFonts w:hint="eastAsia" w:ascii="宋体" w:hAnsi="宋体" w:cs="宋体"/>
                <w:color w:val="auto"/>
                <w:spacing w:val="-8"/>
                <w:sz w:val="24"/>
                <w:szCs w:val="24"/>
                <w:lang w:eastAsia="zh-CN"/>
              </w:rPr>
              <w:t>本项目厂房位于</w:t>
            </w:r>
            <w:r>
              <w:rPr>
                <w:rFonts w:hint="eastAsia"/>
                <w:color w:val="auto"/>
                <w:highlight w:val="none"/>
                <w:lang w:eastAsia="zh-CN"/>
              </w:rPr>
              <w:t>陕西省汉中市佛坪县塘湾路</w:t>
            </w:r>
            <w:r>
              <w:rPr>
                <w:rFonts w:hint="eastAsia"/>
                <w:color w:val="auto"/>
                <w:highlight w:val="none"/>
                <w:lang w:val="en-US" w:eastAsia="zh-CN"/>
              </w:rPr>
              <w:t>38</w:t>
            </w:r>
            <w:r>
              <w:rPr>
                <w:rFonts w:hint="eastAsia"/>
                <w:color w:val="auto"/>
                <w:highlight w:val="none"/>
                <w:lang w:eastAsia="zh-CN"/>
              </w:rPr>
              <w:t>号</w:t>
            </w:r>
            <w:r>
              <w:rPr>
                <w:rFonts w:hint="eastAsia" w:ascii="Times New Roman" w:hAnsi="Times New Roman" w:eastAsia="宋体"/>
                <w:color w:val="auto"/>
                <w:sz w:val="24"/>
                <w:szCs w:val="24"/>
                <w:highlight w:val="none"/>
                <w:lang w:val="en-US" w:eastAsia="zh-CN"/>
              </w:rPr>
              <w:t>，项目用地为工业用地，不涉及生态环境影响。</w:t>
            </w:r>
          </w:p>
        </w:tc>
      </w:tr>
      <w:tr w14:paraId="336F7A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1223" w:type="dxa"/>
            <w:noWrap w:val="0"/>
            <w:vAlign w:val="center"/>
          </w:tcPr>
          <w:p w14:paraId="211FF3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宋体"/>
                <w:color w:val="auto"/>
                <w:spacing w:val="-8"/>
                <w:sz w:val="24"/>
                <w:szCs w:val="24"/>
                <w:highlight w:val="none"/>
              </w:rPr>
            </w:pPr>
            <w:r>
              <w:rPr>
                <w:rFonts w:hint="eastAsia" w:ascii="Times New Roman" w:hAnsi="Times New Roman" w:eastAsia="宋体" w:cs="宋体"/>
                <w:color w:val="auto"/>
                <w:spacing w:val="-8"/>
                <w:sz w:val="24"/>
                <w:szCs w:val="24"/>
                <w:highlight w:val="none"/>
              </w:rPr>
              <w:t>环境风险</w:t>
            </w:r>
          </w:p>
          <w:p w14:paraId="5FABA7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pacing w:val="-8"/>
                <w:sz w:val="24"/>
                <w:szCs w:val="24"/>
                <w:highlight w:val="none"/>
              </w:rPr>
            </w:pPr>
            <w:r>
              <w:rPr>
                <w:rFonts w:hint="eastAsia" w:ascii="Times New Roman" w:hAnsi="Times New Roman" w:eastAsia="宋体" w:cs="宋体"/>
                <w:color w:val="auto"/>
                <w:spacing w:val="-8"/>
                <w:sz w:val="24"/>
                <w:szCs w:val="24"/>
                <w:highlight w:val="none"/>
              </w:rPr>
              <w:t>防范措施</w:t>
            </w:r>
          </w:p>
        </w:tc>
        <w:tc>
          <w:tcPr>
            <w:tcW w:w="8866" w:type="dxa"/>
            <w:gridSpan w:val="4"/>
            <w:noWrap w:val="0"/>
            <w:vAlign w:val="center"/>
          </w:tcPr>
          <w:p w14:paraId="5AFE4440">
            <w:pPr>
              <w:bidi w:val="0"/>
              <w:rPr>
                <w:rFonts w:hint="default" w:ascii="Times New Roman" w:hAnsi="Times New Roman" w:eastAsia="宋体" w:cs="Times New Roman"/>
                <w:b w:val="0"/>
                <w:bCs w:val="0"/>
                <w:color w:val="auto"/>
                <w:sz w:val="24"/>
                <w:szCs w:val="24"/>
                <w:highlight w:val="none"/>
                <w:lang w:eastAsia="zh-CN"/>
              </w:rPr>
            </w:pPr>
            <w:r>
              <w:rPr>
                <w:rFonts w:hint="eastAsia" w:cs="Times New Roman"/>
                <w:color w:val="auto"/>
                <w:kern w:val="0"/>
                <w:sz w:val="24"/>
                <w:szCs w:val="24"/>
                <w:highlight w:val="none"/>
                <w:lang w:val="en-US" w:eastAsia="zh-CN" w:bidi="ar"/>
              </w:rPr>
              <w:t>本项目涉及</w:t>
            </w:r>
            <w:r>
              <w:rPr>
                <w:rFonts w:hint="default" w:ascii="Times New Roman" w:hAnsi="Times New Roman" w:eastAsia="宋体" w:cs="Times New Roman"/>
                <w:color w:val="auto"/>
                <w:kern w:val="0"/>
                <w:sz w:val="24"/>
                <w:szCs w:val="24"/>
                <w:highlight w:val="none"/>
                <w:lang w:val="en-US" w:eastAsia="zh-CN" w:bidi="ar"/>
              </w:rPr>
              <w:t>的环境风险物质主要为</w:t>
            </w:r>
            <w:r>
              <w:rPr>
                <w:rFonts w:hint="eastAsia" w:cs="Times New Roman"/>
                <w:color w:val="auto"/>
                <w:kern w:val="0"/>
                <w:sz w:val="24"/>
                <w:szCs w:val="24"/>
                <w:highlight w:val="none"/>
                <w:lang w:val="en-US" w:eastAsia="zh-CN" w:bidi="ar"/>
              </w:rPr>
              <w:t>机油、废机油、山茱萸酒等，</w:t>
            </w:r>
            <w:r>
              <w:rPr>
                <w:rFonts w:hint="default" w:ascii="Times New Roman" w:hAnsi="Times New Roman" w:eastAsia="宋体" w:cs="Times New Roman"/>
                <w:color w:val="auto"/>
                <w:sz w:val="24"/>
                <w:szCs w:val="24"/>
                <w:highlight w:val="none"/>
              </w:rPr>
              <w:t>主要事故风险类型为</w:t>
            </w:r>
            <w:r>
              <w:rPr>
                <w:rFonts w:hint="eastAsia" w:cs="Times New Roman"/>
                <w:color w:val="auto"/>
                <w:sz w:val="24"/>
                <w:szCs w:val="24"/>
                <w:highlight w:val="none"/>
                <w:lang w:eastAsia="zh-CN"/>
              </w:rPr>
              <w:t>环境风险物质</w:t>
            </w:r>
            <w:r>
              <w:rPr>
                <w:rFonts w:hint="default" w:ascii="Times New Roman" w:hAnsi="Times New Roman" w:eastAsia="宋体" w:cs="Times New Roman"/>
                <w:color w:val="auto"/>
                <w:sz w:val="24"/>
                <w:szCs w:val="24"/>
                <w:highlight w:val="none"/>
              </w:rPr>
              <w:t>泄漏事故</w:t>
            </w:r>
            <w:r>
              <w:rPr>
                <w:rFonts w:hint="default" w:ascii="Times New Roman" w:hAnsi="Times New Roman" w:eastAsia="宋体" w:cs="Times New Roman"/>
                <w:color w:val="auto"/>
                <w:sz w:val="24"/>
                <w:szCs w:val="24"/>
                <w:highlight w:val="none"/>
                <w:lang w:val="en-US" w:eastAsia="zh-CN"/>
              </w:rPr>
              <w:t>及</w:t>
            </w:r>
            <w:r>
              <w:rPr>
                <w:rFonts w:hint="default" w:ascii="Times New Roman" w:hAnsi="Times New Roman" w:eastAsia="宋体" w:cs="Times New Roman"/>
                <w:color w:val="auto"/>
                <w:sz w:val="24"/>
                <w:szCs w:val="24"/>
                <w:highlight w:val="none"/>
                <w:lang w:eastAsia="zh-CN"/>
              </w:rPr>
              <w:t>火灾、爆炸</w:t>
            </w:r>
            <w:r>
              <w:rPr>
                <w:rFonts w:hint="eastAsia" w:cs="Times New Roman"/>
                <w:color w:val="auto"/>
                <w:sz w:val="24"/>
                <w:szCs w:val="24"/>
                <w:highlight w:val="none"/>
                <w:lang w:eastAsia="zh-CN"/>
              </w:rPr>
              <w:t>继而</w:t>
            </w:r>
            <w:r>
              <w:rPr>
                <w:rFonts w:hint="default" w:ascii="Times New Roman" w:hAnsi="Times New Roman" w:eastAsia="宋体" w:cs="Times New Roman"/>
                <w:color w:val="auto"/>
                <w:sz w:val="24"/>
                <w:szCs w:val="24"/>
                <w:highlight w:val="none"/>
                <w:lang w:eastAsia="zh-CN"/>
              </w:rPr>
              <w:t>引发的次生</w:t>
            </w:r>
            <w:r>
              <w:rPr>
                <w:rFonts w:hint="eastAsia" w:cs="Times New Roman"/>
                <w:color w:val="auto"/>
                <w:sz w:val="24"/>
                <w:szCs w:val="24"/>
                <w:highlight w:val="none"/>
                <w:lang w:val="en-US" w:eastAsia="zh-CN"/>
              </w:rPr>
              <w:t>/伴生</w:t>
            </w:r>
            <w:r>
              <w:rPr>
                <w:rFonts w:hint="default" w:ascii="Times New Roman" w:hAnsi="Times New Roman" w:eastAsia="宋体" w:cs="Times New Roman"/>
                <w:color w:val="auto"/>
                <w:sz w:val="24"/>
                <w:szCs w:val="24"/>
                <w:highlight w:val="none"/>
                <w:lang w:eastAsia="zh-CN"/>
              </w:rPr>
              <w:t>环境事故</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项目危险废物在转运过</w:t>
            </w:r>
            <w:r>
              <w:rPr>
                <w:rFonts w:hint="eastAsia" w:cs="Times New Roman"/>
                <w:color w:val="auto"/>
                <w:sz w:val="24"/>
                <w:szCs w:val="24"/>
                <w:highlight w:val="none"/>
                <w:lang w:eastAsia="zh-CN"/>
              </w:rPr>
              <w:t>程中</w:t>
            </w:r>
            <w:r>
              <w:rPr>
                <w:rFonts w:hint="default" w:ascii="Times New Roman" w:hAnsi="Times New Roman" w:eastAsia="宋体" w:cs="Times New Roman"/>
                <w:color w:val="auto"/>
                <w:sz w:val="24"/>
                <w:szCs w:val="24"/>
                <w:highlight w:val="none"/>
              </w:rPr>
              <w:t>加强管理，</w:t>
            </w:r>
            <w:r>
              <w:rPr>
                <w:rFonts w:hint="eastAsia" w:cs="Times New Roman"/>
                <w:color w:val="auto"/>
                <w:sz w:val="24"/>
                <w:szCs w:val="24"/>
                <w:highlight w:val="none"/>
                <w:lang w:eastAsia="zh-CN"/>
              </w:rPr>
              <w:t>危废产生后及时委托有资质单位转运处置，不得在厂内长期暂存</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eastAsia="zh-CN"/>
              </w:rPr>
              <w:t>库房及生产设备</w:t>
            </w:r>
            <w:r>
              <w:rPr>
                <w:rFonts w:hint="default" w:ascii="Times New Roman" w:hAnsi="Times New Roman" w:eastAsia="宋体" w:cs="Times New Roman"/>
                <w:color w:val="auto"/>
                <w:sz w:val="24"/>
                <w:szCs w:val="24"/>
                <w:highlight w:val="none"/>
              </w:rPr>
              <w:t>做好日常环保检查工作</w:t>
            </w:r>
            <w:r>
              <w:rPr>
                <w:rFonts w:hint="eastAsia" w:ascii="Times New Roman" w:hAnsi="Times New Roman" w:eastAsia="宋体" w:cs="Times New Roman"/>
                <w:color w:val="auto"/>
                <w:sz w:val="24"/>
                <w:szCs w:val="24"/>
                <w:highlight w:val="none"/>
                <w:lang w:eastAsia="zh-CN"/>
              </w:rPr>
              <w:t>。</w:t>
            </w:r>
            <w:r>
              <w:rPr>
                <w:rFonts w:hint="eastAsia" w:cs="Times New Roman"/>
                <w:b w:val="0"/>
                <w:bCs w:val="0"/>
                <w:color w:val="auto"/>
                <w:sz w:val="24"/>
                <w:szCs w:val="24"/>
                <w:highlight w:val="none"/>
                <w:lang w:val="en-US" w:eastAsia="zh-CN"/>
              </w:rPr>
              <w:t>企业按照</w:t>
            </w:r>
            <w:r>
              <w:rPr>
                <w:rFonts w:hint="default" w:ascii="Times New Roman" w:hAnsi="Times New Roman" w:eastAsia="宋体" w:cs="Times New Roman"/>
                <w:b w:val="0"/>
                <w:bCs w:val="0"/>
                <w:color w:val="auto"/>
                <w:sz w:val="24"/>
                <w:szCs w:val="24"/>
                <w:highlight w:val="none"/>
              </w:rPr>
              <w:t>国家有关规定</w:t>
            </w:r>
            <w:r>
              <w:rPr>
                <w:rFonts w:hint="eastAsia" w:cs="Times New Roman"/>
                <w:b w:val="0"/>
                <w:bCs w:val="0"/>
                <w:color w:val="auto"/>
                <w:sz w:val="24"/>
                <w:szCs w:val="24"/>
                <w:highlight w:val="none"/>
                <w:lang w:val="en-US" w:eastAsia="zh-CN"/>
              </w:rPr>
              <w:t>及</w:t>
            </w:r>
            <w:r>
              <w:rPr>
                <w:rFonts w:hint="default" w:ascii="Times New Roman" w:hAnsi="Times New Roman" w:eastAsia="宋体" w:cs="Times New Roman"/>
                <w:b w:val="0"/>
                <w:bCs w:val="0"/>
                <w:color w:val="auto"/>
                <w:sz w:val="24"/>
                <w:szCs w:val="24"/>
                <w:highlight w:val="none"/>
              </w:rPr>
              <w:t>项目</w:t>
            </w:r>
            <w:r>
              <w:rPr>
                <w:rFonts w:hint="default" w:ascii="Times New Roman" w:hAnsi="Times New Roman" w:eastAsia="宋体" w:cs="Times New Roman"/>
                <w:b w:val="0"/>
                <w:bCs w:val="0"/>
                <w:color w:val="auto"/>
                <w:sz w:val="24"/>
                <w:szCs w:val="24"/>
                <w:highlight w:val="none"/>
                <w:lang w:eastAsia="zh-CN"/>
              </w:rPr>
              <w:t>可能发生的突发环境事件类型设置相应的环境风险防范措施</w:t>
            </w:r>
            <w:r>
              <w:rPr>
                <w:rFonts w:hint="default" w:ascii="Times New Roman" w:hAnsi="Times New Roman" w:eastAsia="宋体" w:cs="Times New Roman"/>
                <w:b w:val="0"/>
                <w:bCs w:val="0"/>
                <w:color w:val="auto"/>
                <w:sz w:val="24"/>
                <w:szCs w:val="24"/>
                <w:highlight w:val="none"/>
              </w:rPr>
              <w:t>，发生危害事</w:t>
            </w:r>
            <w:r>
              <w:rPr>
                <w:rFonts w:hint="default" w:ascii="Times New Roman" w:hAnsi="Times New Roman" w:eastAsia="宋体" w:cs="Times New Roman"/>
                <w:b w:val="0"/>
                <w:bCs w:val="0"/>
                <w:color w:val="auto"/>
                <w:sz w:val="24"/>
                <w:szCs w:val="24"/>
                <w:highlight w:val="none"/>
                <w:lang w:eastAsia="zh-CN"/>
              </w:rPr>
              <w:t>故的</w:t>
            </w:r>
            <w:r>
              <w:rPr>
                <w:rFonts w:hint="eastAsia" w:ascii="Times New Roman" w:hAnsi="Times New Roman" w:eastAsia="宋体" w:cs="Times New Roman"/>
                <w:b w:val="0"/>
                <w:bCs w:val="0"/>
                <w:color w:val="auto"/>
                <w:sz w:val="24"/>
                <w:szCs w:val="24"/>
                <w:highlight w:val="none"/>
                <w:lang w:eastAsia="zh-CN"/>
              </w:rPr>
              <w:t>概率</w:t>
            </w:r>
            <w:r>
              <w:rPr>
                <w:rFonts w:hint="default" w:ascii="Times New Roman" w:hAnsi="Times New Roman" w:eastAsia="宋体" w:cs="Times New Roman"/>
                <w:b w:val="0"/>
                <w:bCs w:val="0"/>
                <w:color w:val="auto"/>
                <w:sz w:val="24"/>
                <w:szCs w:val="24"/>
                <w:highlight w:val="none"/>
                <w:lang w:eastAsia="zh-CN"/>
              </w:rPr>
              <w:t>较小。</w:t>
            </w:r>
          </w:p>
          <w:p w14:paraId="165F71F7">
            <w:pPr>
              <w:bidi w:val="0"/>
              <w:rPr>
                <w:rFonts w:hint="eastAsia" w:ascii="Times New Roman" w:hAnsi="Times New Roman" w:eastAsia="宋体" w:cs="宋体"/>
                <w:color w:val="auto"/>
                <w:sz w:val="24"/>
                <w:szCs w:val="24"/>
                <w:highlight w:val="none"/>
              </w:rPr>
            </w:pPr>
            <w:r>
              <w:rPr>
                <w:rFonts w:hint="eastAsia" w:ascii="Times New Roman" w:hAnsi="Times New Roman" w:eastAsia="宋体" w:cs="Times New Roman"/>
                <w:b w:val="0"/>
                <w:bCs w:val="0"/>
                <w:color w:val="auto"/>
                <w:sz w:val="24"/>
                <w:szCs w:val="24"/>
                <w:highlight w:val="none"/>
                <w:lang w:eastAsia="zh-CN"/>
              </w:rPr>
              <w:t>企业在严格执行现有环境风险防范措施条件下，</w:t>
            </w:r>
            <w:r>
              <w:rPr>
                <w:rFonts w:hint="eastAsia" w:cs="Times New Roman"/>
                <w:b w:val="0"/>
                <w:bCs w:val="0"/>
                <w:color w:val="auto"/>
                <w:sz w:val="24"/>
                <w:szCs w:val="24"/>
                <w:highlight w:val="none"/>
                <w:lang w:eastAsia="zh-CN"/>
              </w:rPr>
              <w:t>应</w:t>
            </w:r>
            <w:r>
              <w:rPr>
                <w:rFonts w:hint="eastAsia" w:ascii="Times New Roman" w:hAnsi="Times New Roman" w:eastAsia="宋体"/>
                <w:color w:val="auto"/>
                <w:sz w:val="24"/>
                <w:szCs w:val="24"/>
                <w:highlight w:val="none"/>
                <w:lang w:val="en-US" w:eastAsia="zh-CN"/>
              </w:rPr>
              <w:t>编制突发环境事件应急预案并完成备案</w:t>
            </w:r>
            <w:r>
              <w:rPr>
                <w:rFonts w:hint="eastAsia"/>
                <w:color w:val="auto"/>
                <w:sz w:val="24"/>
                <w:szCs w:val="24"/>
                <w:highlight w:val="none"/>
                <w:lang w:val="en-US" w:eastAsia="zh-CN"/>
              </w:rPr>
              <w:t>，</w:t>
            </w:r>
            <w:r>
              <w:rPr>
                <w:rFonts w:hint="eastAsia" w:cs="Times New Roman"/>
                <w:b w:val="0"/>
                <w:bCs w:val="0"/>
                <w:color w:val="auto"/>
                <w:sz w:val="24"/>
                <w:szCs w:val="24"/>
                <w:highlight w:val="none"/>
                <w:lang w:eastAsia="zh-CN"/>
              </w:rPr>
              <w:t>根据环境风险单元制定相应的</w:t>
            </w:r>
            <w:r>
              <w:rPr>
                <w:rFonts w:hint="eastAsia" w:ascii="Times New Roman" w:hAnsi="Times New Roman" w:eastAsia="宋体" w:cs="Times New Roman"/>
                <w:b w:val="0"/>
                <w:bCs w:val="0"/>
                <w:color w:val="auto"/>
                <w:sz w:val="24"/>
                <w:szCs w:val="24"/>
                <w:highlight w:val="none"/>
                <w:lang w:eastAsia="zh-CN"/>
              </w:rPr>
              <w:t>环境风险防范措施</w:t>
            </w:r>
            <w:r>
              <w:rPr>
                <w:rFonts w:hint="eastAsia" w:cs="Times New Roman"/>
                <w:b w:val="0"/>
                <w:bCs w:val="0"/>
                <w:color w:val="auto"/>
                <w:sz w:val="24"/>
                <w:szCs w:val="24"/>
                <w:highlight w:val="none"/>
                <w:lang w:eastAsia="zh-CN"/>
              </w:rPr>
              <w:t>，</w:t>
            </w:r>
            <w:r>
              <w:rPr>
                <w:rFonts w:hint="eastAsia"/>
                <w:color w:val="auto"/>
                <w:sz w:val="24"/>
                <w:szCs w:val="24"/>
                <w:highlight w:val="none"/>
                <w:lang w:val="en-US" w:eastAsia="zh-CN"/>
              </w:rPr>
              <w:t>同时，</w:t>
            </w:r>
            <w:r>
              <w:rPr>
                <w:rFonts w:hint="default" w:ascii="Times New Roman" w:hAnsi="Times New Roman" w:eastAsia="宋体" w:cs="Times New Roman"/>
                <w:color w:val="auto"/>
                <w:sz w:val="24"/>
                <w:szCs w:val="24"/>
                <w:highlight w:val="none"/>
                <w:lang w:val="en-US" w:eastAsia="zh-CN"/>
              </w:rPr>
              <w:t>加强职工的安全教育，定期组织事故抢救演习。</w:t>
            </w:r>
            <w:r>
              <w:rPr>
                <w:rFonts w:hint="eastAsia" w:cs="Times New Roman"/>
                <w:b w:val="0"/>
                <w:bCs w:val="0"/>
                <w:color w:val="auto"/>
                <w:sz w:val="24"/>
                <w:szCs w:val="24"/>
                <w:highlight w:val="none"/>
                <w:lang w:val="en-US" w:eastAsia="zh-CN"/>
              </w:rPr>
              <w:t>项目运营期，</w:t>
            </w:r>
            <w:r>
              <w:rPr>
                <w:rFonts w:hint="default" w:ascii="Times New Roman" w:hAnsi="Times New Roman" w:eastAsia="宋体" w:cs="Times New Roman"/>
                <w:color w:val="auto"/>
                <w:sz w:val="24"/>
                <w:szCs w:val="24"/>
                <w:highlight w:val="none"/>
                <w:lang w:val="en-US" w:eastAsia="zh-CN"/>
              </w:rPr>
              <w:t>企业应定期开展安全生产检查，严格实行岗位责任制，及时发现并消除隐患；制定防止事故发生的各项规章制度并严格执行。</w:t>
            </w:r>
          </w:p>
        </w:tc>
      </w:tr>
      <w:tr w14:paraId="6435CC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223" w:type="dxa"/>
            <w:noWrap w:val="0"/>
            <w:vAlign w:val="center"/>
          </w:tcPr>
          <w:p w14:paraId="5D7DD2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宋体"/>
                <w:color w:val="auto"/>
                <w:spacing w:val="-8"/>
                <w:sz w:val="24"/>
                <w:szCs w:val="24"/>
                <w:highlight w:val="none"/>
              </w:rPr>
            </w:pPr>
            <w:r>
              <w:rPr>
                <w:rFonts w:hint="eastAsia" w:ascii="Times New Roman" w:hAnsi="Times New Roman" w:eastAsia="宋体" w:cs="宋体"/>
                <w:color w:val="auto"/>
                <w:spacing w:val="-8"/>
                <w:sz w:val="24"/>
                <w:szCs w:val="24"/>
                <w:highlight w:val="none"/>
              </w:rPr>
              <w:t>其他环境</w:t>
            </w:r>
          </w:p>
          <w:p w14:paraId="792533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color w:val="auto"/>
                <w:spacing w:val="-8"/>
                <w:sz w:val="24"/>
                <w:szCs w:val="24"/>
                <w:highlight w:val="none"/>
              </w:rPr>
            </w:pPr>
            <w:r>
              <w:rPr>
                <w:rFonts w:hint="eastAsia" w:ascii="Times New Roman" w:hAnsi="Times New Roman" w:eastAsia="宋体" w:cs="宋体"/>
                <w:color w:val="auto"/>
                <w:spacing w:val="-8"/>
                <w:sz w:val="24"/>
                <w:szCs w:val="24"/>
                <w:highlight w:val="none"/>
              </w:rPr>
              <w:t>管理要求</w:t>
            </w:r>
          </w:p>
        </w:tc>
        <w:tc>
          <w:tcPr>
            <w:tcW w:w="8866" w:type="dxa"/>
            <w:gridSpan w:val="4"/>
            <w:noWrap w:val="0"/>
            <w:vAlign w:val="center"/>
          </w:tcPr>
          <w:p w14:paraId="4FB203F3">
            <w:pPr>
              <w:pStyle w:val="2"/>
              <w:rPr>
                <w:rFonts w:hint="eastAsia" w:ascii="Times New Roman" w:hAnsi="Times New Roman" w:eastAsia="宋体" w:cs="Times New Roman"/>
                <w:b w:val="0"/>
                <w:bCs w:val="0"/>
                <w:color w:val="auto"/>
                <w:kern w:val="2"/>
                <w:sz w:val="24"/>
                <w:szCs w:val="24"/>
                <w:highlight w:val="none"/>
                <w:lang w:val="en-US" w:eastAsia="zh-CN" w:bidi="ar-SA"/>
              </w:rPr>
            </w:pPr>
          </w:p>
          <w:p w14:paraId="2564FC2D">
            <w:pPr>
              <w:pStyle w:val="2"/>
              <w:rPr>
                <w:rFonts w:hint="eastAsia" w:ascii="Times New Roman" w:hAnsi="Times New Roman" w:eastAsia="宋体" w:cs="Times New Roman"/>
                <w:b w:val="0"/>
                <w:bCs w:val="0"/>
                <w:color w:val="auto"/>
                <w:kern w:val="2"/>
                <w:sz w:val="24"/>
                <w:szCs w:val="24"/>
                <w:highlight w:val="none"/>
                <w:lang w:val="en-US" w:eastAsia="zh-CN" w:bidi="ar-SA"/>
              </w:rPr>
            </w:pPr>
          </w:p>
          <w:p w14:paraId="3AD0C17F">
            <w:pPr>
              <w:pStyle w:val="2"/>
              <w:rPr>
                <w:rFonts w:hint="eastAsia" w:ascii="Times New Roman" w:hAnsi="Times New Roman" w:eastAsia="宋体" w:cs="Times New Roman"/>
                <w:b w:val="0"/>
                <w:bCs w:val="0"/>
                <w:color w:val="auto"/>
                <w:kern w:val="2"/>
                <w:sz w:val="24"/>
                <w:szCs w:val="24"/>
                <w:highlight w:val="none"/>
                <w:lang w:val="en-US" w:eastAsia="zh-CN" w:bidi="ar-SA"/>
              </w:rPr>
            </w:pPr>
          </w:p>
          <w:p w14:paraId="43001BE0">
            <w:pPr>
              <w:pStyle w:val="2"/>
              <w:rPr>
                <w:rFonts w:hint="eastAsia" w:ascii="Times New Roman" w:hAnsi="Times New Roman" w:eastAsia="宋体" w:cs="Times New Roman"/>
                <w:b w:val="0"/>
                <w:bCs w:val="0"/>
                <w:color w:val="auto"/>
                <w:kern w:val="2"/>
                <w:sz w:val="24"/>
                <w:szCs w:val="24"/>
                <w:highlight w:val="none"/>
                <w:lang w:val="en-US" w:eastAsia="zh-CN" w:bidi="ar-SA"/>
              </w:rPr>
            </w:pPr>
          </w:p>
          <w:p w14:paraId="39B96370">
            <w:pPr>
              <w:pStyle w:val="2"/>
              <w:rPr>
                <w:rFonts w:hint="eastAsia" w:ascii="Times New Roman" w:hAnsi="Times New Roman" w:eastAsia="宋体" w:cs="Times New Roman"/>
                <w:b w:val="0"/>
                <w:bCs w:val="0"/>
                <w:color w:val="auto"/>
                <w:kern w:val="2"/>
                <w:sz w:val="24"/>
                <w:szCs w:val="24"/>
                <w:highlight w:val="none"/>
                <w:lang w:val="en-US" w:eastAsia="zh-CN" w:bidi="ar-SA"/>
              </w:rPr>
            </w:pPr>
          </w:p>
          <w:p w14:paraId="3EEB3567">
            <w:pPr>
              <w:pStyle w:val="2"/>
              <w:rPr>
                <w:rFonts w:hint="eastAsia" w:ascii="Times New Roman" w:hAnsi="Times New Roman" w:eastAsia="宋体" w:cs="Times New Roman"/>
                <w:b w:val="0"/>
                <w:bCs w:val="0"/>
                <w:color w:val="auto"/>
                <w:kern w:val="2"/>
                <w:sz w:val="24"/>
                <w:szCs w:val="24"/>
                <w:highlight w:val="none"/>
                <w:lang w:val="en-US" w:eastAsia="zh-CN" w:bidi="ar-SA"/>
              </w:rPr>
            </w:pPr>
          </w:p>
          <w:p w14:paraId="19122EA1">
            <w:pPr>
              <w:pStyle w:val="2"/>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fldChar w:fldCharType="begin"/>
            </w:r>
            <w:r>
              <w:rPr>
                <w:rFonts w:hint="eastAsia" w:ascii="Times New Roman" w:hAnsi="Times New Roman" w:eastAsia="宋体" w:cs="Times New Roman"/>
                <w:b w:val="0"/>
                <w:bCs w:val="0"/>
                <w:color w:val="auto"/>
                <w:kern w:val="2"/>
                <w:sz w:val="24"/>
                <w:szCs w:val="24"/>
                <w:highlight w:val="none"/>
                <w:lang w:val="en-US" w:eastAsia="zh-CN" w:bidi="ar-SA"/>
              </w:rPr>
              <w:instrText xml:space="preserve"> = 1 \* GB3 </w:instrText>
            </w:r>
            <w:r>
              <w:rPr>
                <w:rFonts w:hint="eastAsia" w:ascii="Times New Roman" w:hAnsi="Times New Roman" w:eastAsia="宋体" w:cs="Times New Roman"/>
                <w:b w:val="0"/>
                <w:bCs w:val="0"/>
                <w:color w:val="auto"/>
                <w:kern w:val="2"/>
                <w:sz w:val="24"/>
                <w:szCs w:val="24"/>
                <w:highlight w:val="none"/>
                <w:lang w:val="en-US" w:eastAsia="zh-CN" w:bidi="ar-SA"/>
              </w:rPr>
              <w:fldChar w:fldCharType="separate"/>
            </w:r>
            <w:r>
              <w:rPr>
                <w:rFonts w:hint="eastAsia" w:ascii="Times New Roman" w:hAnsi="Times New Roman" w:eastAsia="宋体" w:cs="Times New Roman"/>
                <w:b w:val="0"/>
                <w:bCs w:val="0"/>
                <w:color w:val="auto"/>
                <w:kern w:val="2"/>
                <w:sz w:val="24"/>
                <w:szCs w:val="24"/>
                <w:highlight w:val="none"/>
                <w:lang w:val="en-US" w:eastAsia="zh-CN" w:bidi="ar-SA"/>
              </w:rPr>
              <w:t>①</w:t>
            </w:r>
            <w:r>
              <w:rPr>
                <w:rFonts w:hint="eastAsia" w:ascii="Times New Roman" w:hAnsi="Times New Roman" w:eastAsia="宋体" w:cs="Times New Roman"/>
                <w:b w:val="0"/>
                <w:bCs w:val="0"/>
                <w:color w:val="auto"/>
                <w:kern w:val="2"/>
                <w:sz w:val="24"/>
                <w:szCs w:val="24"/>
                <w:highlight w:val="none"/>
                <w:lang w:val="en-US" w:eastAsia="zh-CN" w:bidi="ar-SA"/>
              </w:rPr>
              <w:fldChar w:fldCharType="end"/>
            </w:r>
            <w:r>
              <w:rPr>
                <w:rFonts w:hint="eastAsia" w:ascii="Times New Roman" w:hAnsi="Times New Roman" w:eastAsia="宋体" w:cs="Times New Roman"/>
                <w:b w:val="0"/>
                <w:bCs w:val="0"/>
                <w:color w:val="auto"/>
                <w:kern w:val="2"/>
                <w:sz w:val="24"/>
                <w:szCs w:val="24"/>
                <w:highlight w:val="none"/>
                <w:lang w:val="en-US" w:eastAsia="zh-CN" w:bidi="ar-SA"/>
              </w:rPr>
              <w:t>建设项目竣工后、正式投入生产或运行前，及时开展建设项目竣工环境保护验收工作；</w:t>
            </w:r>
          </w:p>
          <w:p w14:paraId="6494A37F">
            <w:pPr>
              <w:pStyle w:val="2"/>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fldChar w:fldCharType="begin"/>
            </w:r>
            <w:r>
              <w:rPr>
                <w:rFonts w:hint="eastAsia" w:ascii="Times New Roman" w:hAnsi="Times New Roman" w:eastAsia="宋体" w:cs="Times New Roman"/>
                <w:b w:val="0"/>
                <w:bCs w:val="0"/>
                <w:color w:val="auto"/>
                <w:kern w:val="2"/>
                <w:sz w:val="24"/>
                <w:szCs w:val="24"/>
                <w:highlight w:val="none"/>
                <w:lang w:val="en-US" w:eastAsia="zh-CN" w:bidi="ar-SA"/>
              </w:rPr>
              <w:instrText xml:space="preserve"> = 2 \* GB3 </w:instrText>
            </w:r>
            <w:r>
              <w:rPr>
                <w:rFonts w:hint="eastAsia" w:ascii="Times New Roman" w:hAnsi="Times New Roman" w:eastAsia="宋体" w:cs="Times New Roman"/>
                <w:b w:val="0"/>
                <w:bCs w:val="0"/>
                <w:color w:val="auto"/>
                <w:kern w:val="2"/>
                <w:sz w:val="24"/>
                <w:szCs w:val="24"/>
                <w:highlight w:val="none"/>
                <w:lang w:val="en-US" w:eastAsia="zh-CN" w:bidi="ar-SA"/>
              </w:rPr>
              <w:fldChar w:fldCharType="separate"/>
            </w:r>
            <w:r>
              <w:rPr>
                <w:rFonts w:hint="eastAsia" w:ascii="Times New Roman" w:hAnsi="Times New Roman" w:eastAsia="宋体" w:cs="Times New Roman"/>
                <w:b w:val="0"/>
                <w:bCs w:val="0"/>
                <w:color w:val="auto"/>
                <w:kern w:val="2"/>
                <w:sz w:val="24"/>
                <w:szCs w:val="24"/>
                <w:highlight w:val="none"/>
                <w:lang w:val="en-US" w:eastAsia="zh-CN" w:bidi="ar-SA"/>
              </w:rPr>
              <w:t>②</w:t>
            </w:r>
            <w:r>
              <w:rPr>
                <w:rFonts w:hint="eastAsia" w:ascii="Times New Roman" w:hAnsi="Times New Roman" w:eastAsia="宋体" w:cs="Times New Roman"/>
                <w:b w:val="0"/>
                <w:bCs w:val="0"/>
                <w:color w:val="auto"/>
                <w:kern w:val="2"/>
                <w:sz w:val="24"/>
                <w:szCs w:val="24"/>
                <w:highlight w:val="none"/>
                <w:lang w:val="en-US" w:eastAsia="zh-CN" w:bidi="ar-SA"/>
              </w:rPr>
              <w:fldChar w:fldCharType="end"/>
            </w:r>
            <w:r>
              <w:rPr>
                <w:rFonts w:hint="eastAsia" w:ascii="Times New Roman" w:hAnsi="Times New Roman" w:eastAsia="宋体" w:cs="Times New Roman"/>
                <w:b w:val="0"/>
                <w:bCs w:val="0"/>
                <w:color w:val="auto"/>
                <w:kern w:val="2"/>
                <w:sz w:val="24"/>
                <w:szCs w:val="24"/>
                <w:highlight w:val="none"/>
                <w:lang w:val="en-US" w:eastAsia="zh-CN" w:bidi="ar-SA"/>
              </w:rPr>
              <w:t>严格执行建设项目“三同时”制度；</w:t>
            </w:r>
          </w:p>
          <w:p w14:paraId="6E0C37AB">
            <w:pPr>
              <w:pStyle w:val="2"/>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fldChar w:fldCharType="begin"/>
            </w:r>
            <w:r>
              <w:rPr>
                <w:rFonts w:hint="eastAsia" w:ascii="Times New Roman" w:hAnsi="Times New Roman" w:eastAsia="宋体" w:cs="Times New Roman"/>
                <w:b w:val="0"/>
                <w:bCs w:val="0"/>
                <w:color w:val="auto"/>
                <w:kern w:val="2"/>
                <w:sz w:val="24"/>
                <w:szCs w:val="24"/>
                <w:highlight w:val="none"/>
                <w:lang w:val="en-US" w:eastAsia="zh-CN" w:bidi="ar-SA"/>
              </w:rPr>
              <w:instrText xml:space="preserve"> = 3 \* GB3 </w:instrText>
            </w:r>
            <w:r>
              <w:rPr>
                <w:rFonts w:hint="eastAsia" w:ascii="Times New Roman" w:hAnsi="Times New Roman" w:eastAsia="宋体" w:cs="Times New Roman"/>
                <w:b w:val="0"/>
                <w:bCs w:val="0"/>
                <w:color w:val="auto"/>
                <w:kern w:val="2"/>
                <w:sz w:val="24"/>
                <w:szCs w:val="24"/>
                <w:highlight w:val="none"/>
                <w:lang w:val="en-US" w:eastAsia="zh-CN" w:bidi="ar-SA"/>
              </w:rPr>
              <w:fldChar w:fldCharType="separate"/>
            </w:r>
            <w:r>
              <w:rPr>
                <w:rFonts w:hint="eastAsia" w:ascii="Times New Roman" w:hAnsi="Times New Roman" w:eastAsia="宋体" w:cs="Times New Roman"/>
                <w:b w:val="0"/>
                <w:bCs w:val="0"/>
                <w:color w:val="auto"/>
                <w:kern w:val="2"/>
                <w:sz w:val="24"/>
                <w:szCs w:val="24"/>
                <w:highlight w:val="none"/>
                <w:lang w:val="en-US" w:eastAsia="zh-CN" w:bidi="ar-SA"/>
              </w:rPr>
              <w:t>③</w:t>
            </w:r>
            <w:r>
              <w:rPr>
                <w:rFonts w:hint="eastAsia" w:ascii="Times New Roman" w:hAnsi="Times New Roman" w:eastAsia="宋体" w:cs="Times New Roman"/>
                <w:b w:val="0"/>
                <w:bCs w:val="0"/>
                <w:color w:val="auto"/>
                <w:kern w:val="2"/>
                <w:sz w:val="24"/>
                <w:szCs w:val="24"/>
                <w:highlight w:val="none"/>
                <w:lang w:val="en-US" w:eastAsia="zh-CN" w:bidi="ar-SA"/>
              </w:rPr>
              <w:fldChar w:fldCharType="end"/>
            </w:r>
            <w:r>
              <w:rPr>
                <w:rFonts w:hint="eastAsia" w:ascii="Times New Roman" w:hAnsi="Times New Roman" w:eastAsia="宋体" w:cs="Times New Roman"/>
                <w:b w:val="0"/>
                <w:bCs w:val="0"/>
                <w:color w:val="auto"/>
                <w:kern w:val="2"/>
                <w:sz w:val="24"/>
                <w:szCs w:val="24"/>
                <w:highlight w:val="none"/>
                <w:lang w:val="en-US" w:eastAsia="zh-CN" w:bidi="ar-SA"/>
              </w:rPr>
              <w:t>应对照《固定污染源排污许可分类管理名录》的要求，及时进行排污许可申报事宜。</w:t>
            </w:r>
          </w:p>
          <w:p w14:paraId="3E146C5A">
            <w:pPr>
              <w:pStyle w:val="2"/>
              <w:rPr>
                <w:rFonts w:hint="eastAsia" w:ascii="Times New Roman" w:hAnsi="Times New Roman" w:eastAsia="宋体" w:cs="Times New Roman"/>
                <w:b w:val="0"/>
                <w:bCs w:val="0"/>
                <w:color w:val="auto"/>
                <w:kern w:val="2"/>
                <w:sz w:val="24"/>
                <w:szCs w:val="24"/>
                <w:highlight w:val="none"/>
                <w:lang w:val="en-US" w:eastAsia="zh-CN" w:bidi="ar-SA"/>
              </w:rPr>
            </w:pPr>
          </w:p>
          <w:p w14:paraId="20CA5A20">
            <w:pPr>
              <w:pStyle w:val="2"/>
              <w:rPr>
                <w:rFonts w:hint="eastAsia" w:ascii="Times New Roman" w:hAnsi="Times New Roman" w:eastAsia="宋体" w:cs="Times New Roman"/>
                <w:b w:val="0"/>
                <w:bCs w:val="0"/>
                <w:color w:val="auto"/>
                <w:kern w:val="2"/>
                <w:sz w:val="24"/>
                <w:szCs w:val="24"/>
                <w:highlight w:val="none"/>
                <w:lang w:val="en-US" w:eastAsia="zh-CN" w:bidi="ar-SA"/>
              </w:rPr>
            </w:pPr>
          </w:p>
          <w:p w14:paraId="4D126A8B">
            <w:pPr>
              <w:pStyle w:val="2"/>
              <w:rPr>
                <w:rFonts w:hint="eastAsia" w:ascii="Times New Roman" w:hAnsi="Times New Roman" w:eastAsia="宋体" w:cs="Times New Roman"/>
                <w:b w:val="0"/>
                <w:bCs w:val="0"/>
                <w:color w:val="auto"/>
                <w:kern w:val="2"/>
                <w:sz w:val="24"/>
                <w:szCs w:val="24"/>
                <w:highlight w:val="none"/>
                <w:lang w:val="en-US" w:eastAsia="zh-CN" w:bidi="ar-SA"/>
              </w:rPr>
            </w:pPr>
          </w:p>
          <w:p w14:paraId="60518319">
            <w:pPr>
              <w:pStyle w:val="2"/>
              <w:rPr>
                <w:rFonts w:hint="eastAsia" w:ascii="Times New Roman" w:hAnsi="Times New Roman" w:eastAsia="宋体" w:cs="Times New Roman"/>
                <w:b w:val="0"/>
                <w:bCs w:val="0"/>
                <w:color w:val="auto"/>
                <w:kern w:val="2"/>
                <w:sz w:val="24"/>
                <w:szCs w:val="24"/>
                <w:highlight w:val="none"/>
                <w:lang w:val="en-US" w:eastAsia="zh-CN" w:bidi="ar-SA"/>
              </w:rPr>
            </w:pPr>
          </w:p>
          <w:p w14:paraId="0ACE7BD9">
            <w:pPr>
              <w:pStyle w:val="2"/>
              <w:rPr>
                <w:rFonts w:hint="eastAsia" w:ascii="Times New Roman" w:hAnsi="Times New Roman" w:eastAsia="宋体" w:cs="Times New Roman"/>
                <w:b w:val="0"/>
                <w:bCs w:val="0"/>
                <w:color w:val="auto"/>
                <w:kern w:val="2"/>
                <w:sz w:val="24"/>
                <w:szCs w:val="24"/>
                <w:highlight w:val="none"/>
                <w:lang w:val="en-US" w:eastAsia="zh-CN" w:bidi="ar-SA"/>
              </w:rPr>
            </w:pPr>
          </w:p>
          <w:p w14:paraId="783334EE">
            <w:pPr>
              <w:pStyle w:val="2"/>
              <w:rPr>
                <w:rFonts w:hint="eastAsia" w:ascii="Times New Roman" w:hAnsi="Times New Roman" w:eastAsia="宋体" w:cs="Times New Roman"/>
                <w:b w:val="0"/>
                <w:bCs w:val="0"/>
                <w:color w:val="auto"/>
                <w:kern w:val="2"/>
                <w:sz w:val="24"/>
                <w:szCs w:val="24"/>
                <w:highlight w:val="none"/>
                <w:lang w:val="en-US" w:eastAsia="zh-CN" w:bidi="ar-SA"/>
              </w:rPr>
            </w:pPr>
          </w:p>
          <w:p w14:paraId="0DD6D001">
            <w:pPr>
              <w:pStyle w:val="2"/>
              <w:rPr>
                <w:rFonts w:hint="eastAsia" w:ascii="Times New Roman" w:hAnsi="Times New Roman" w:eastAsia="宋体" w:cs="Times New Roman"/>
                <w:b w:val="0"/>
                <w:bCs w:val="0"/>
                <w:color w:val="auto"/>
                <w:kern w:val="2"/>
                <w:sz w:val="24"/>
                <w:szCs w:val="24"/>
                <w:highlight w:val="none"/>
                <w:lang w:val="en-US" w:eastAsia="zh-CN" w:bidi="ar-SA"/>
              </w:rPr>
            </w:pPr>
          </w:p>
          <w:p w14:paraId="0C5A2609">
            <w:pPr>
              <w:rPr>
                <w:rFonts w:hint="eastAsia"/>
                <w:color w:val="auto"/>
                <w:lang w:val="en-US" w:eastAsia="zh-CN"/>
              </w:rPr>
            </w:pPr>
          </w:p>
        </w:tc>
      </w:tr>
    </w:tbl>
    <w:p w14:paraId="479FF3A0">
      <w:pPr>
        <w:bidi w:val="0"/>
        <w:rPr>
          <w:rFonts w:ascii="Times New Roman" w:hAnsi="Times New Roman" w:eastAsia="宋体"/>
          <w:snapToGrid w:val="0"/>
          <w:color w:val="auto"/>
          <w:sz w:val="30"/>
          <w:szCs w:val="30"/>
          <w:highlight w:val="none"/>
        </w:rPr>
      </w:pPr>
      <w:r>
        <w:rPr>
          <w:rFonts w:ascii="Times New Roman" w:hAnsi="Times New Roman" w:eastAsia="宋体"/>
          <w:snapToGrid w:val="0"/>
          <w:color w:val="auto"/>
          <w:highlight w:val="none"/>
        </w:rPr>
        <w:br w:type="page"/>
      </w:r>
      <w:r>
        <w:rPr>
          <w:rFonts w:hint="eastAsia" w:ascii="Times New Roman" w:hAnsi="Times New Roman" w:eastAsia="宋体" w:cs="Times New Roman"/>
          <w:b/>
          <w:bCs/>
          <w:color w:val="auto"/>
          <w:kern w:val="44"/>
          <w:sz w:val="30"/>
          <w:szCs w:val="30"/>
          <w:highlight w:val="none"/>
          <w:lang w:val="en-US" w:eastAsia="zh-CN" w:bidi="ar-SA"/>
        </w:rPr>
        <w:t>六、结论</w:t>
      </w:r>
    </w:p>
    <w:tbl>
      <w:tblPr>
        <w:tblStyle w:val="25"/>
        <w:tblW w:w="1003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030"/>
      </w:tblGrid>
      <w:tr w14:paraId="1151B7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07" w:hRule="atLeast"/>
          <w:jc w:val="center"/>
        </w:trPr>
        <w:tc>
          <w:tcPr>
            <w:tcW w:w="10030" w:type="dxa"/>
            <w:noWrap w:val="0"/>
            <w:vAlign w:val="top"/>
          </w:tcPr>
          <w:p w14:paraId="4764CF4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sz w:val="24"/>
                <w:highlight w:val="none"/>
                <w:lang w:eastAsia="zh-CN"/>
              </w:rPr>
              <w:t>本</w:t>
            </w:r>
            <w:r>
              <w:rPr>
                <w:rFonts w:hint="default" w:ascii="Times New Roman" w:hAnsi="Times New Roman" w:eastAsia="宋体" w:cs="Times New Roman"/>
                <w:color w:val="auto"/>
                <w:sz w:val="24"/>
                <w:highlight w:val="none"/>
              </w:rPr>
              <w:t>项目选址合理，符合国家产业政策</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highlight w:val="none"/>
              </w:rPr>
              <w:t>工程建设符合国家产业政策和</w:t>
            </w:r>
            <w:r>
              <w:rPr>
                <w:rFonts w:hint="eastAsia" w:cs="Times New Roman"/>
                <w:color w:val="auto"/>
                <w:highlight w:val="none"/>
                <w:lang w:eastAsia="zh-CN"/>
              </w:rPr>
              <w:t>“</w:t>
            </w:r>
            <w:r>
              <w:rPr>
                <w:rFonts w:hint="default" w:ascii="Times New Roman" w:hAnsi="Times New Roman" w:eastAsia="宋体" w:cs="Times New Roman"/>
                <w:color w:val="auto"/>
                <w:highlight w:val="none"/>
              </w:rPr>
              <w:t>三线一单</w:t>
            </w:r>
            <w:r>
              <w:rPr>
                <w:rFonts w:hint="eastAsia" w:cs="Times New Roman"/>
                <w:color w:val="auto"/>
                <w:highlight w:val="none"/>
                <w:lang w:eastAsia="zh-CN"/>
              </w:rPr>
              <w:t>”</w:t>
            </w:r>
            <w:r>
              <w:rPr>
                <w:rFonts w:hint="default" w:ascii="Times New Roman" w:hAnsi="Times New Roman" w:eastAsia="宋体" w:cs="Times New Roman"/>
                <w:color w:val="auto"/>
                <w:highlight w:val="none"/>
              </w:rPr>
              <w:t>及环境管控要求；</w:t>
            </w:r>
            <w:r>
              <w:rPr>
                <w:rFonts w:hint="default" w:ascii="Times New Roman" w:hAnsi="Times New Roman" w:eastAsia="宋体" w:cs="Times New Roman"/>
                <w:color w:val="auto"/>
                <w:sz w:val="24"/>
                <w:highlight w:val="none"/>
              </w:rPr>
              <w:t>本项目在运营过程中会产生噪声和一定量的废气、废水、固</w:t>
            </w:r>
            <w:r>
              <w:rPr>
                <w:rFonts w:hint="eastAsia" w:ascii="Times New Roman" w:hAnsi="Times New Roman" w:cs="Times New Roman"/>
                <w:color w:val="auto"/>
                <w:sz w:val="24"/>
                <w:highlight w:val="none"/>
                <w:lang w:eastAsia="zh-CN"/>
              </w:rPr>
              <w:t>体</w:t>
            </w:r>
            <w:r>
              <w:rPr>
                <w:rFonts w:hint="default" w:ascii="Times New Roman" w:hAnsi="Times New Roman" w:eastAsia="宋体" w:cs="Times New Roman"/>
                <w:color w:val="auto"/>
                <w:sz w:val="24"/>
                <w:highlight w:val="none"/>
              </w:rPr>
              <w:t>废</w:t>
            </w:r>
            <w:r>
              <w:rPr>
                <w:rFonts w:hint="eastAsia" w:ascii="Times New Roman" w:hAnsi="Times New Roman" w:cs="Times New Roman"/>
                <w:color w:val="auto"/>
                <w:sz w:val="24"/>
                <w:highlight w:val="none"/>
                <w:lang w:eastAsia="zh-CN"/>
              </w:rPr>
              <w:t>物</w:t>
            </w:r>
            <w:r>
              <w:rPr>
                <w:rFonts w:hint="default" w:ascii="Times New Roman" w:hAnsi="Times New Roman" w:eastAsia="宋体" w:cs="Times New Roman"/>
                <w:color w:val="auto"/>
                <w:sz w:val="24"/>
                <w:highlight w:val="none"/>
              </w:rPr>
              <w:t>等</w:t>
            </w:r>
            <w:r>
              <w:rPr>
                <w:rFonts w:hint="eastAsia" w:ascii="Times New Roman" w:hAnsi="Times New Roman" w:cs="Times New Roman"/>
                <w:color w:val="auto"/>
                <w:sz w:val="24"/>
                <w:highlight w:val="none"/>
                <w:lang w:eastAsia="zh-CN"/>
              </w:rPr>
              <w:t>，经评价分析</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严格</w:t>
            </w:r>
            <w:r>
              <w:rPr>
                <w:rFonts w:hint="eastAsia" w:ascii="Times New Roman" w:hAnsi="Times New Roman" w:cs="Times New Roman"/>
                <w:color w:val="auto"/>
                <w:sz w:val="24"/>
                <w:highlight w:val="none"/>
                <w:lang w:eastAsia="zh-CN"/>
              </w:rPr>
              <w:t>采取并</w:t>
            </w:r>
            <w:r>
              <w:rPr>
                <w:rFonts w:hint="default" w:ascii="Times New Roman" w:hAnsi="Times New Roman" w:eastAsia="宋体" w:cs="Times New Roman"/>
                <w:color w:val="auto"/>
                <w:sz w:val="24"/>
                <w:highlight w:val="none"/>
              </w:rPr>
              <w:t>落实环评提出的各项污染防治措施</w:t>
            </w:r>
            <w:r>
              <w:rPr>
                <w:rFonts w:hint="eastAsia" w:ascii="Times New Roman" w:hAnsi="Times New Roman" w:cs="Times New Roman"/>
                <w:color w:val="auto"/>
                <w:sz w:val="24"/>
                <w:highlight w:val="none"/>
                <w:lang w:eastAsia="zh-CN"/>
              </w:rPr>
              <w:t>和环保管理要求</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highlight w:val="none"/>
              </w:rPr>
              <w:t>对周围环境影响较小，满足区域环境质量改善目标管理要求；</w:t>
            </w:r>
            <w:r>
              <w:rPr>
                <w:rFonts w:hint="default" w:ascii="Times New Roman" w:hAnsi="Times New Roman" w:eastAsia="宋体" w:cs="Times New Roman"/>
                <w:color w:val="auto"/>
                <w:sz w:val="24"/>
                <w:szCs w:val="24"/>
                <w:highlight w:val="none"/>
                <w:lang w:eastAsia="zh-CN"/>
              </w:rPr>
              <w:t>环境风险可控，从环境保护的角度分析，</w:t>
            </w:r>
            <w:r>
              <w:rPr>
                <w:rFonts w:hint="eastAsia" w:cs="Times New Roman"/>
                <w:color w:val="auto"/>
                <w:sz w:val="24"/>
                <w:szCs w:val="24"/>
                <w:highlight w:val="none"/>
                <w:lang w:eastAsia="zh-CN"/>
              </w:rPr>
              <w:t>本项目环境影响</w:t>
            </w:r>
            <w:r>
              <w:rPr>
                <w:rFonts w:hint="default" w:ascii="Times New Roman" w:hAnsi="Times New Roman" w:eastAsia="宋体" w:cs="Times New Roman"/>
                <w:color w:val="auto"/>
                <w:sz w:val="24"/>
                <w:szCs w:val="24"/>
                <w:highlight w:val="none"/>
                <w:lang w:eastAsia="zh-CN"/>
              </w:rPr>
              <w:t>可行</w:t>
            </w:r>
            <w:r>
              <w:rPr>
                <w:rFonts w:hint="eastAsia" w:ascii="Times New Roman" w:hAnsi="Times New Roman" w:cs="Times New Roman"/>
                <w:color w:val="auto"/>
                <w:sz w:val="24"/>
                <w:szCs w:val="24"/>
                <w:highlight w:val="none"/>
                <w:lang w:eastAsia="zh-CN"/>
              </w:rPr>
              <w:t>。</w:t>
            </w:r>
          </w:p>
        </w:tc>
      </w:tr>
    </w:tbl>
    <w:p w14:paraId="032833F7">
      <w:pPr>
        <w:rPr>
          <w:rFonts w:ascii="Times New Roman" w:hAnsi="Times New Roman" w:eastAsia="宋体"/>
          <w:color w:val="auto"/>
          <w:highlight w:val="none"/>
        </w:rPr>
        <w:sectPr>
          <w:pgSz w:w="11906" w:h="16838"/>
          <w:pgMar w:top="1247" w:right="1304" w:bottom="1247" w:left="1304" w:header="851" w:footer="851" w:gutter="0"/>
          <w:pgBorders>
            <w:top w:val="none" w:sz="0" w:space="0"/>
            <w:left w:val="none" w:sz="0" w:space="0"/>
            <w:bottom w:val="none" w:sz="0" w:space="0"/>
            <w:right w:val="none" w:sz="0" w:space="0"/>
          </w:pgBorders>
          <w:pgNumType w:fmt="decimal"/>
          <w:cols w:space="720" w:num="1"/>
          <w:docGrid w:linePitch="312" w:charSpace="0"/>
        </w:sectPr>
      </w:pPr>
    </w:p>
    <w:p w14:paraId="6F0F28AA">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0" w:firstLineChars="0"/>
        <w:textAlignment w:val="auto"/>
        <w:outlineLvl w:val="0"/>
        <w:rPr>
          <w:rFonts w:ascii="Times New Roman" w:hAnsi="Times New Roman" w:eastAsia="宋体"/>
          <w:b/>
          <w:bCs/>
          <w:snapToGrid w:val="0"/>
          <w:color w:val="auto"/>
          <w:sz w:val="28"/>
          <w:szCs w:val="28"/>
          <w:highlight w:val="none"/>
        </w:rPr>
      </w:pPr>
      <w:r>
        <w:rPr>
          <w:rFonts w:hint="eastAsia" w:ascii="Times New Roman" w:hAnsi="Times New Roman" w:eastAsia="宋体"/>
          <w:b/>
          <w:bCs/>
          <w:snapToGrid w:val="0"/>
          <w:color w:val="auto"/>
          <w:sz w:val="28"/>
          <w:szCs w:val="28"/>
          <w:highlight w:val="none"/>
        </w:rPr>
        <w:t>附表</w:t>
      </w:r>
    </w:p>
    <w:p w14:paraId="612961E5">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outlineLvl w:val="0"/>
        <w:rPr>
          <w:rFonts w:hint="default" w:ascii="Times New Roman" w:hAnsi="Times New Roman" w:eastAsia="宋体"/>
          <w:b/>
          <w:bCs/>
          <w:snapToGrid w:val="0"/>
          <w:color w:val="auto"/>
          <w:sz w:val="24"/>
          <w:szCs w:val="24"/>
          <w:highlight w:val="none"/>
          <w:lang w:val="en-US" w:eastAsia="zh-CN"/>
        </w:rPr>
      </w:pPr>
      <w:r>
        <w:rPr>
          <w:rFonts w:hint="eastAsia" w:ascii="Times New Roman" w:hAnsi="Times New Roman" w:eastAsia="宋体"/>
          <w:b/>
          <w:bCs/>
          <w:snapToGrid w:val="0"/>
          <w:color w:val="auto"/>
          <w:sz w:val="24"/>
          <w:szCs w:val="24"/>
          <w:highlight w:val="none"/>
        </w:rPr>
        <w:t>建设项目污染物排放量汇总表</w:t>
      </w:r>
      <w:r>
        <w:rPr>
          <w:rFonts w:hint="eastAsia" w:ascii="Times New Roman" w:hAnsi="Times New Roman" w:eastAsia="宋体"/>
          <w:b/>
          <w:bCs/>
          <w:snapToGrid w:val="0"/>
          <w:color w:val="auto"/>
          <w:sz w:val="24"/>
          <w:szCs w:val="24"/>
          <w:highlight w:val="none"/>
          <w:lang w:val="en-US" w:eastAsia="zh-CN"/>
        </w:rPr>
        <w:t xml:space="preserve">       </w:t>
      </w:r>
      <w:r>
        <w:rPr>
          <w:rFonts w:hint="eastAsia" w:ascii="Times New Roman" w:hAnsi="Times New Roman" w:eastAsia="宋体" w:cs="Times New Roman"/>
          <w:b/>
          <w:bCs/>
          <w:snapToGrid w:val="0"/>
          <w:color w:val="auto"/>
          <w:sz w:val="24"/>
          <w:szCs w:val="24"/>
          <w:highlight w:val="none"/>
        </w:rPr>
        <w:t>单位：t/a</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94"/>
        <w:gridCol w:w="1968"/>
        <w:gridCol w:w="1707"/>
        <w:gridCol w:w="1105"/>
        <w:gridCol w:w="1655"/>
        <w:gridCol w:w="1761"/>
        <w:gridCol w:w="1510"/>
        <w:gridCol w:w="1707"/>
        <w:gridCol w:w="1256"/>
      </w:tblGrid>
      <w:tr w14:paraId="106407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27" w:type="pct"/>
            <w:tcBorders>
              <w:tl2br w:val="single" w:color="auto" w:sz="4" w:space="0"/>
            </w:tcBorders>
            <w:noWrap w:val="0"/>
            <w:tcMar>
              <w:left w:w="28" w:type="dxa"/>
              <w:right w:w="28" w:type="dxa"/>
            </w:tcMar>
            <w:vAlign w:val="center"/>
          </w:tcPr>
          <w:p w14:paraId="4BD7603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755" w:firstLineChars="400"/>
              <w:jc w:val="both"/>
              <w:textAlignment w:val="auto"/>
              <w:rPr>
                <w:rFonts w:hint="eastAsia" w:ascii="Times New Roman" w:hAnsi="Times New Roman" w:eastAsia="宋体" w:cs="宋体"/>
                <w:b/>
                <w:bCs/>
                <w:snapToGrid w:val="0"/>
                <w:color w:val="auto"/>
                <w:spacing w:val="-6"/>
                <w:kern w:val="21"/>
                <w:sz w:val="20"/>
                <w:szCs w:val="20"/>
                <w:highlight w:val="none"/>
              </w:rPr>
            </w:pPr>
            <w:r>
              <w:rPr>
                <w:rFonts w:hint="eastAsia" w:ascii="Times New Roman" w:hAnsi="Times New Roman" w:eastAsia="宋体" w:cs="宋体"/>
                <w:b/>
                <w:bCs/>
                <w:snapToGrid w:val="0"/>
                <w:color w:val="auto"/>
                <w:spacing w:val="-6"/>
                <w:kern w:val="21"/>
                <w:sz w:val="20"/>
                <w:szCs w:val="20"/>
                <w:highlight w:val="none"/>
              </w:rPr>
              <w:t>项目</w:t>
            </w:r>
          </w:p>
          <w:p w14:paraId="35ECDB24">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189" w:firstLineChars="100"/>
              <w:jc w:val="both"/>
              <w:textAlignment w:val="auto"/>
              <w:rPr>
                <w:rFonts w:hint="eastAsia" w:ascii="Times New Roman" w:hAnsi="Times New Roman" w:eastAsia="宋体" w:cs="宋体"/>
                <w:b/>
                <w:bCs/>
                <w:snapToGrid w:val="0"/>
                <w:color w:val="auto"/>
                <w:spacing w:val="-6"/>
                <w:kern w:val="21"/>
                <w:sz w:val="20"/>
                <w:szCs w:val="20"/>
                <w:highlight w:val="none"/>
              </w:rPr>
            </w:pPr>
            <w:r>
              <w:rPr>
                <w:rFonts w:hint="eastAsia" w:ascii="Times New Roman" w:hAnsi="Times New Roman" w:eastAsia="宋体" w:cs="宋体"/>
                <w:b/>
                <w:bCs/>
                <w:snapToGrid w:val="0"/>
                <w:color w:val="auto"/>
                <w:spacing w:val="-6"/>
                <w:kern w:val="21"/>
                <w:sz w:val="20"/>
                <w:szCs w:val="20"/>
                <w:highlight w:val="none"/>
              </w:rPr>
              <w:t>分类</w:t>
            </w:r>
          </w:p>
        </w:tc>
        <w:tc>
          <w:tcPr>
            <w:tcW w:w="694" w:type="pct"/>
            <w:noWrap w:val="0"/>
            <w:tcMar>
              <w:left w:w="28" w:type="dxa"/>
              <w:right w:w="28" w:type="dxa"/>
            </w:tcMar>
            <w:vAlign w:val="center"/>
          </w:tcPr>
          <w:p w14:paraId="75D6A92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bCs/>
                <w:snapToGrid w:val="0"/>
                <w:color w:val="auto"/>
                <w:spacing w:val="-6"/>
                <w:kern w:val="21"/>
                <w:sz w:val="20"/>
                <w:szCs w:val="20"/>
                <w:highlight w:val="none"/>
              </w:rPr>
            </w:pPr>
            <w:r>
              <w:rPr>
                <w:rFonts w:hint="eastAsia" w:ascii="Times New Roman" w:hAnsi="Times New Roman" w:eastAsia="宋体" w:cs="宋体"/>
                <w:b/>
                <w:bCs/>
                <w:snapToGrid w:val="0"/>
                <w:color w:val="auto"/>
                <w:spacing w:val="-6"/>
                <w:kern w:val="21"/>
                <w:sz w:val="20"/>
                <w:szCs w:val="20"/>
                <w:highlight w:val="none"/>
              </w:rPr>
              <w:t>污染物名称</w:t>
            </w:r>
          </w:p>
        </w:tc>
        <w:tc>
          <w:tcPr>
            <w:tcW w:w="602" w:type="pct"/>
            <w:noWrap w:val="0"/>
            <w:tcMar>
              <w:left w:w="28" w:type="dxa"/>
              <w:right w:w="28" w:type="dxa"/>
            </w:tcMar>
            <w:vAlign w:val="center"/>
          </w:tcPr>
          <w:p w14:paraId="70B7FB9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b/>
                <w:bCs/>
                <w:snapToGrid w:val="0"/>
                <w:color w:val="auto"/>
                <w:spacing w:val="-6"/>
                <w:kern w:val="21"/>
                <w:sz w:val="20"/>
                <w:szCs w:val="20"/>
                <w:highlight w:val="none"/>
                <w:lang w:eastAsia="zh-CN"/>
              </w:rPr>
            </w:pPr>
            <w:r>
              <w:rPr>
                <w:rFonts w:hint="eastAsia" w:ascii="Times New Roman" w:hAnsi="Times New Roman" w:eastAsia="宋体"/>
                <w:b/>
                <w:bCs/>
                <w:snapToGrid w:val="0"/>
                <w:color w:val="auto"/>
                <w:spacing w:val="-6"/>
                <w:kern w:val="21"/>
                <w:sz w:val="20"/>
                <w:szCs w:val="20"/>
                <w:highlight w:val="none"/>
                <w:lang w:eastAsia="zh-CN"/>
              </w:rPr>
              <w:t>现有项目</w:t>
            </w:r>
          </w:p>
          <w:p w14:paraId="5ECA4EC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b/>
                <w:bCs/>
                <w:snapToGrid w:val="0"/>
                <w:color w:val="auto"/>
                <w:spacing w:val="-6"/>
                <w:kern w:val="21"/>
                <w:sz w:val="20"/>
                <w:szCs w:val="20"/>
                <w:highlight w:val="none"/>
              </w:rPr>
            </w:pPr>
            <w:r>
              <w:rPr>
                <w:rFonts w:ascii="Times New Roman" w:hAnsi="Times New Roman" w:eastAsia="宋体"/>
                <w:b/>
                <w:bCs/>
                <w:snapToGrid w:val="0"/>
                <w:color w:val="auto"/>
                <w:spacing w:val="-6"/>
                <w:kern w:val="21"/>
                <w:sz w:val="20"/>
                <w:szCs w:val="20"/>
                <w:highlight w:val="none"/>
              </w:rPr>
              <w:t>排放量（固</w:t>
            </w:r>
            <w:r>
              <w:rPr>
                <w:rFonts w:hint="eastAsia" w:ascii="Times New Roman" w:hAnsi="Times New Roman" w:eastAsia="宋体"/>
                <w:b/>
                <w:bCs/>
                <w:snapToGrid w:val="0"/>
                <w:color w:val="auto"/>
                <w:spacing w:val="-6"/>
                <w:kern w:val="21"/>
                <w:sz w:val="20"/>
                <w:szCs w:val="20"/>
                <w:highlight w:val="none"/>
              </w:rPr>
              <w:t>体</w:t>
            </w:r>
            <w:r>
              <w:rPr>
                <w:rFonts w:ascii="Times New Roman" w:hAnsi="Times New Roman" w:eastAsia="宋体"/>
                <w:b/>
                <w:bCs/>
                <w:snapToGrid w:val="0"/>
                <w:color w:val="auto"/>
                <w:spacing w:val="-6"/>
                <w:kern w:val="21"/>
                <w:sz w:val="20"/>
                <w:szCs w:val="20"/>
                <w:highlight w:val="none"/>
              </w:rPr>
              <w:t>废</w:t>
            </w:r>
            <w:r>
              <w:rPr>
                <w:rFonts w:hint="eastAsia" w:ascii="Times New Roman" w:hAnsi="Times New Roman" w:eastAsia="宋体"/>
                <w:b/>
                <w:bCs/>
                <w:snapToGrid w:val="0"/>
                <w:color w:val="auto"/>
                <w:spacing w:val="-6"/>
                <w:kern w:val="21"/>
                <w:sz w:val="20"/>
                <w:szCs w:val="20"/>
                <w:highlight w:val="none"/>
              </w:rPr>
              <w:t>物</w:t>
            </w:r>
            <w:r>
              <w:rPr>
                <w:rFonts w:ascii="Times New Roman" w:hAnsi="Times New Roman" w:eastAsia="宋体"/>
                <w:b/>
                <w:bCs/>
                <w:snapToGrid w:val="0"/>
                <w:color w:val="auto"/>
                <w:spacing w:val="-6"/>
                <w:kern w:val="21"/>
                <w:sz w:val="20"/>
                <w:szCs w:val="20"/>
                <w:highlight w:val="none"/>
              </w:rPr>
              <w:t>产生量）</w:t>
            </w:r>
            <w:r>
              <w:rPr>
                <w:rFonts w:ascii="Times New Roman" w:hAnsi="Times New Roman" w:eastAsia="宋体"/>
                <w:b/>
                <w:bCs/>
                <w:snapToGrid w:val="0"/>
                <w:color w:val="auto"/>
                <w:spacing w:val="-6"/>
                <w:kern w:val="21"/>
                <w:sz w:val="20"/>
                <w:szCs w:val="20"/>
                <w:highlight w:val="none"/>
              </w:rPr>
              <w:fldChar w:fldCharType="begin"/>
            </w:r>
            <w:r>
              <w:rPr>
                <w:rFonts w:ascii="Times New Roman" w:hAnsi="Times New Roman" w:eastAsia="宋体"/>
                <w:b/>
                <w:bCs/>
                <w:snapToGrid w:val="0"/>
                <w:color w:val="auto"/>
                <w:spacing w:val="-6"/>
                <w:kern w:val="21"/>
                <w:sz w:val="20"/>
                <w:szCs w:val="20"/>
                <w:highlight w:val="none"/>
              </w:rPr>
              <w:instrText xml:space="preserve"> = 1 \* GB3 \* MERGEFORMAT </w:instrText>
            </w:r>
            <w:r>
              <w:rPr>
                <w:rFonts w:ascii="Times New Roman" w:hAnsi="Times New Roman" w:eastAsia="宋体"/>
                <w:b/>
                <w:bCs/>
                <w:snapToGrid w:val="0"/>
                <w:color w:val="auto"/>
                <w:spacing w:val="-6"/>
                <w:kern w:val="21"/>
                <w:sz w:val="20"/>
                <w:szCs w:val="20"/>
                <w:highlight w:val="none"/>
              </w:rPr>
              <w:fldChar w:fldCharType="separate"/>
            </w:r>
            <w:r>
              <w:rPr>
                <w:rFonts w:hint="eastAsia" w:ascii="Times New Roman" w:hAnsi="Times New Roman" w:eastAsia="宋体" w:cs="宋体"/>
                <w:b/>
                <w:bCs/>
                <w:color w:val="auto"/>
                <w:kern w:val="2"/>
                <w:sz w:val="20"/>
                <w:szCs w:val="20"/>
                <w:highlight w:val="none"/>
              </w:rPr>
              <w:t>①</w:t>
            </w:r>
            <w:r>
              <w:rPr>
                <w:rFonts w:ascii="Times New Roman" w:hAnsi="Times New Roman" w:eastAsia="宋体"/>
                <w:b/>
                <w:bCs/>
                <w:snapToGrid w:val="0"/>
                <w:color w:val="auto"/>
                <w:spacing w:val="-6"/>
                <w:kern w:val="21"/>
                <w:sz w:val="20"/>
                <w:szCs w:val="20"/>
                <w:highlight w:val="none"/>
              </w:rPr>
              <w:fldChar w:fldCharType="end"/>
            </w:r>
          </w:p>
        </w:tc>
        <w:tc>
          <w:tcPr>
            <w:tcW w:w="390" w:type="pct"/>
            <w:noWrap w:val="0"/>
            <w:tcMar>
              <w:left w:w="28" w:type="dxa"/>
              <w:right w:w="28" w:type="dxa"/>
            </w:tcMar>
            <w:vAlign w:val="center"/>
          </w:tcPr>
          <w:p w14:paraId="461340C5">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b/>
                <w:bCs/>
                <w:snapToGrid w:val="0"/>
                <w:color w:val="auto"/>
                <w:spacing w:val="-6"/>
                <w:kern w:val="21"/>
                <w:sz w:val="20"/>
                <w:szCs w:val="20"/>
                <w:highlight w:val="none"/>
                <w:lang w:eastAsia="zh-CN"/>
              </w:rPr>
            </w:pPr>
            <w:r>
              <w:rPr>
                <w:rFonts w:hint="eastAsia" w:ascii="Times New Roman" w:hAnsi="Times New Roman" w:eastAsia="宋体"/>
                <w:b/>
                <w:bCs/>
                <w:snapToGrid w:val="0"/>
                <w:color w:val="auto"/>
                <w:spacing w:val="-6"/>
                <w:kern w:val="21"/>
                <w:sz w:val="20"/>
                <w:szCs w:val="20"/>
                <w:highlight w:val="none"/>
                <w:lang w:eastAsia="zh-CN"/>
              </w:rPr>
              <w:t>现有项目</w:t>
            </w:r>
          </w:p>
          <w:p w14:paraId="163C4B4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b/>
                <w:bCs/>
                <w:snapToGrid w:val="0"/>
                <w:color w:val="auto"/>
                <w:spacing w:val="-6"/>
                <w:kern w:val="21"/>
                <w:sz w:val="20"/>
                <w:szCs w:val="20"/>
                <w:highlight w:val="none"/>
              </w:rPr>
            </w:pPr>
            <w:r>
              <w:rPr>
                <w:rFonts w:ascii="Times New Roman" w:hAnsi="Times New Roman" w:eastAsia="宋体"/>
                <w:b/>
                <w:bCs/>
                <w:snapToGrid w:val="0"/>
                <w:color w:val="auto"/>
                <w:spacing w:val="-6"/>
                <w:kern w:val="21"/>
                <w:sz w:val="20"/>
                <w:szCs w:val="20"/>
                <w:highlight w:val="none"/>
              </w:rPr>
              <w:t>许可排放量</w:t>
            </w:r>
            <w:r>
              <w:rPr>
                <w:rFonts w:ascii="Times New Roman" w:hAnsi="Times New Roman" w:eastAsia="宋体"/>
                <w:b/>
                <w:bCs/>
                <w:snapToGrid w:val="0"/>
                <w:color w:val="auto"/>
                <w:spacing w:val="-6"/>
                <w:kern w:val="21"/>
                <w:sz w:val="20"/>
                <w:szCs w:val="20"/>
                <w:highlight w:val="none"/>
              </w:rPr>
              <w:fldChar w:fldCharType="begin"/>
            </w:r>
            <w:r>
              <w:rPr>
                <w:rFonts w:ascii="Times New Roman" w:hAnsi="Times New Roman" w:eastAsia="宋体"/>
                <w:b/>
                <w:bCs/>
                <w:snapToGrid w:val="0"/>
                <w:color w:val="auto"/>
                <w:spacing w:val="-6"/>
                <w:kern w:val="21"/>
                <w:sz w:val="20"/>
                <w:szCs w:val="20"/>
                <w:highlight w:val="none"/>
              </w:rPr>
              <w:instrText xml:space="preserve"> = 2 \* GB3 \* MERGEFORMAT </w:instrText>
            </w:r>
            <w:r>
              <w:rPr>
                <w:rFonts w:ascii="Times New Roman" w:hAnsi="Times New Roman" w:eastAsia="宋体"/>
                <w:b/>
                <w:bCs/>
                <w:snapToGrid w:val="0"/>
                <w:color w:val="auto"/>
                <w:spacing w:val="-6"/>
                <w:kern w:val="21"/>
                <w:sz w:val="20"/>
                <w:szCs w:val="20"/>
                <w:highlight w:val="none"/>
              </w:rPr>
              <w:fldChar w:fldCharType="separate"/>
            </w:r>
            <w:r>
              <w:rPr>
                <w:rFonts w:hint="eastAsia" w:ascii="Times New Roman" w:hAnsi="Times New Roman" w:eastAsia="宋体" w:cs="宋体"/>
                <w:b/>
                <w:bCs/>
                <w:snapToGrid w:val="0"/>
                <w:color w:val="auto"/>
                <w:spacing w:val="-6"/>
                <w:kern w:val="21"/>
                <w:sz w:val="20"/>
                <w:szCs w:val="20"/>
                <w:highlight w:val="none"/>
              </w:rPr>
              <w:t>②</w:t>
            </w:r>
            <w:r>
              <w:rPr>
                <w:rFonts w:ascii="Times New Roman" w:hAnsi="Times New Roman" w:eastAsia="宋体"/>
                <w:b/>
                <w:bCs/>
                <w:snapToGrid w:val="0"/>
                <w:color w:val="auto"/>
                <w:spacing w:val="-6"/>
                <w:kern w:val="21"/>
                <w:sz w:val="20"/>
                <w:szCs w:val="20"/>
                <w:highlight w:val="none"/>
              </w:rPr>
              <w:fldChar w:fldCharType="end"/>
            </w:r>
          </w:p>
        </w:tc>
        <w:tc>
          <w:tcPr>
            <w:tcW w:w="584" w:type="pct"/>
            <w:noWrap w:val="0"/>
            <w:tcMar>
              <w:left w:w="28" w:type="dxa"/>
              <w:right w:w="28" w:type="dxa"/>
            </w:tcMar>
            <w:vAlign w:val="center"/>
          </w:tcPr>
          <w:p w14:paraId="36B771E4">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b/>
                <w:bCs/>
                <w:snapToGrid w:val="0"/>
                <w:color w:val="auto"/>
                <w:spacing w:val="-6"/>
                <w:kern w:val="21"/>
                <w:sz w:val="20"/>
                <w:szCs w:val="20"/>
                <w:highlight w:val="none"/>
              </w:rPr>
            </w:pPr>
            <w:r>
              <w:rPr>
                <w:rFonts w:ascii="Times New Roman" w:hAnsi="Times New Roman" w:eastAsia="宋体"/>
                <w:b/>
                <w:bCs/>
                <w:snapToGrid w:val="0"/>
                <w:color w:val="auto"/>
                <w:spacing w:val="-6"/>
                <w:kern w:val="21"/>
                <w:sz w:val="20"/>
                <w:szCs w:val="20"/>
                <w:highlight w:val="none"/>
              </w:rPr>
              <w:t>在建工程</w:t>
            </w:r>
          </w:p>
          <w:p w14:paraId="392D0571">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b/>
                <w:bCs/>
                <w:snapToGrid w:val="0"/>
                <w:color w:val="auto"/>
                <w:spacing w:val="-6"/>
                <w:kern w:val="21"/>
                <w:sz w:val="20"/>
                <w:szCs w:val="20"/>
                <w:highlight w:val="none"/>
              </w:rPr>
            </w:pPr>
            <w:r>
              <w:rPr>
                <w:rFonts w:ascii="Times New Roman" w:hAnsi="Times New Roman" w:eastAsia="宋体"/>
                <w:b/>
                <w:bCs/>
                <w:snapToGrid w:val="0"/>
                <w:color w:val="auto"/>
                <w:spacing w:val="-6"/>
                <w:kern w:val="21"/>
                <w:sz w:val="20"/>
                <w:szCs w:val="20"/>
                <w:highlight w:val="none"/>
              </w:rPr>
              <w:t>排放量（固</w:t>
            </w:r>
            <w:r>
              <w:rPr>
                <w:rFonts w:hint="eastAsia" w:ascii="Times New Roman" w:hAnsi="Times New Roman" w:eastAsia="宋体"/>
                <w:b/>
                <w:bCs/>
                <w:snapToGrid w:val="0"/>
                <w:color w:val="auto"/>
                <w:spacing w:val="-6"/>
                <w:kern w:val="21"/>
                <w:sz w:val="20"/>
                <w:szCs w:val="20"/>
                <w:highlight w:val="none"/>
              </w:rPr>
              <w:t>体</w:t>
            </w:r>
            <w:r>
              <w:rPr>
                <w:rFonts w:ascii="Times New Roman" w:hAnsi="Times New Roman" w:eastAsia="宋体"/>
                <w:b/>
                <w:bCs/>
                <w:snapToGrid w:val="0"/>
                <w:color w:val="auto"/>
                <w:spacing w:val="-6"/>
                <w:kern w:val="21"/>
                <w:sz w:val="20"/>
                <w:szCs w:val="20"/>
                <w:highlight w:val="none"/>
              </w:rPr>
              <w:t>废</w:t>
            </w:r>
            <w:r>
              <w:rPr>
                <w:rFonts w:hint="eastAsia" w:ascii="Times New Roman" w:hAnsi="Times New Roman" w:eastAsia="宋体"/>
                <w:b/>
                <w:bCs/>
                <w:snapToGrid w:val="0"/>
                <w:color w:val="auto"/>
                <w:spacing w:val="-6"/>
                <w:kern w:val="21"/>
                <w:sz w:val="20"/>
                <w:szCs w:val="20"/>
                <w:highlight w:val="none"/>
              </w:rPr>
              <w:t>物</w:t>
            </w:r>
            <w:r>
              <w:rPr>
                <w:rFonts w:ascii="Times New Roman" w:hAnsi="Times New Roman" w:eastAsia="宋体"/>
                <w:b/>
                <w:bCs/>
                <w:snapToGrid w:val="0"/>
                <w:color w:val="auto"/>
                <w:spacing w:val="-6"/>
                <w:kern w:val="21"/>
                <w:sz w:val="20"/>
                <w:szCs w:val="20"/>
                <w:highlight w:val="none"/>
              </w:rPr>
              <w:t>产生量）</w:t>
            </w:r>
            <w:r>
              <w:rPr>
                <w:rFonts w:ascii="Times New Roman" w:hAnsi="Times New Roman" w:eastAsia="宋体"/>
                <w:b/>
                <w:bCs/>
                <w:snapToGrid w:val="0"/>
                <w:color w:val="auto"/>
                <w:spacing w:val="-6"/>
                <w:kern w:val="21"/>
                <w:sz w:val="20"/>
                <w:szCs w:val="20"/>
                <w:highlight w:val="none"/>
              </w:rPr>
              <w:fldChar w:fldCharType="begin"/>
            </w:r>
            <w:r>
              <w:rPr>
                <w:rFonts w:ascii="Times New Roman" w:hAnsi="Times New Roman" w:eastAsia="宋体"/>
                <w:b/>
                <w:bCs/>
                <w:snapToGrid w:val="0"/>
                <w:color w:val="auto"/>
                <w:spacing w:val="-6"/>
                <w:kern w:val="21"/>
                <w:sz w:val="20"/>
                <w:szCs w:val="20"/>
                <w:highlight w:val="none"/>
              </w:rPr>
              <w:instrText xml:space="preserve"> = 3 \* GB3 \* MERGEFORMAT </w:instrText>
            </w:r>
            <w:r>
              <w:rPr>
                <w:rFonts w:ascii="Times New Roman" w:hAnsi="Times New Roman" w:eastAsia="宋体"/>
                <w:b/>
                <w:bCs/>
                <w:snapToGrid w:val="0"/>
                <w:color w:val="auto"/>
                <w:spacing w:val="-6"/>
                <w:kern w:val="21"/>
                <w:sz w:val="20"/>
                <w:szCs w:val="20"/>
                <w:highlight w:val="none"/>
              </w:rPr>
              <w:fldChar w:fldCharType="separate"/>
            </w:r>
            <w:r>
              <w:rPr>
                <w:rFonts w:hint="eastAsia" w:ascii="Times New Roman" w:hAnsi="Times New Roman" w:eastAsia="宋体" w:cs="宋体"/>
                <w:b/>
                <w:bCs/>
                <w:color w:val="auto"/>
                <w:kern w:val="2"/>
                <w:sz w:val="20"/>
                <w:szCs w:val="20"/>
                <w:highlight w:val="none"/>
              </w:rPr>
              <w:t>③</w:t>
            </w:r>
            <w:r>
              <w:rPr>
                <w:rFonts w:ascii="Times New Roman" w:hAnsi="Times New Roman" w:eastAsia="宋体"/>
                <w:b/>
                <w:bCs/>
                <w:snapToGrid w:val="0"/>
                <w:color w:val="auto"/>
                <w:spacing w:val="-6"/>
                <w:kern w:val="21"/>
                <w:sz w:val="20"/>
                <w:szCs w:val="20"/>
                <w:highlight w:val="none"/>
              </w:rPr>
              <w:fldChar w:fldCharType="end"/>
            </w:r>
          </w:p>
        </w:tc>
        <w:tc>
          <w:tcPr>
            <w:tcW w:w="621" w:type="pct"/>
            <w:noWrap w:val="0"/>
            <w:tcMar>
              <w:left w:w="28" w:type="dxa"/>
              <w:right w:w="28" w:type="dxa"/>
            </w:tcMar>
            <w:vAlign w:val="center"/>
          </w:tcPr>
          <w:p w14:paraId="328924B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b/>
                <w:bCs/>
                <w:snapToGrid w:val="0"/>
                <w:color w:val="auto"/>
                <w:spacing w:val="-6"/>
                <w:kern w:val="21"/>
                <w:sz w:val="20"/>
                <w:szCs w:val="20"/>
                <w:highlight w:val="none"/>
              </w:rPr>
            </w:pPr>
            <w:r>
              <w:rPr>
                <w:rFonts w:ascii="Times New Roman" w:hAnsi="Times New Roman" w:eastAsia="宋体"/>
                <w:b/>
                <w:bCs/>
                <w:snapToGrid w:val="0"/>
                <w:color w:val="auto"/>
                <w:spacing w:val="-6"/>
                <w:kern w:val="21"/>
                <w:sz w:val="20"/>
                <w:szCs w:val="20"/>
                <w:highlight w:val="none"/>
              </w:rPr>
              <w:t>本项目</w:t>
            </w:r>
          </w:p>
          <w:p w14:paraId="38290D2A">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b/>
                <w:bCs/>
                <w:snapToGrid w:val="0"/>
                <w:color w:val="auto"/>
                <w:spacing w:val="-6"/>
                <w:kern w:val="21"/>
                <w:sz w:val="20"/>
                <w:szCs w:val="20"/>
                <w:highlight w:val="none"/>
              </w:rPr>
            </w:pPr>
            <w:r>
              <w:rPr>
                <w:rFonts w:ascii="Times New Roman" w:hAnsi="Times New Roman" w:eastAsia="宋体"/>
                <w:b/>
                <w:bCs/>
                <w:snapToGrid w:val="0"/>
                <w:color w:val="auto"/>
                <w:spacing w:val="-6"/>
                <w:kern w:val="21"/>
                <w:sz w:val="20"/>
                <w:szCs w:val="20"/>
                <w:highlight w:val="none"/>
              </w:rPr>
              <w:t>排放量（固</w:t>
            </w:r>
            <w:r>
              <w:rPr>
                <w:rFonts w:hint="eastAsia" w:ascii="Times New Roman" w:hAnsi="Times New Roman" w:eastAsia="宋体"/>
                <w:b/>
                <w:bCs/>
                <w:snapToGrid w:val="0"/>
                <w:color w:val="auto"/>
                <w:spacing w:val="-6"/>
                <w:kern w:val="21"/>
                <w:sz w:val="20"/>
                <w:szCs w:val="20"/>
                <w:highlight w:val="none"/>
              </w:rPr>
              <w:t>体</w:t>
            </w:r>
            <w:r>
              <w:rPr>
                <w:rFonts w:ascii="Times New Roman" w:hAnsi="Times New Roman" w:eastAsia="宋体"/>
                <w:b/>
                <w:bCs/>
                <w:snapToGrid w:val="0"/>
                <w:color w:val="auto"/>
                <w:spacing w:val="-6"/>
                <w:kern w:val="21"/>
                <w:sz w:val="20"/>
                <w:szCs w:val="20"/>
                <w:highlight w:val="none"/>
              </w:rPr>
              <w:t>废</w:t>
            </w:r>
            <w:r>
              <w:rPr>
                <w:rFonts w:hint="eastAsia" w:ascii="Times New Roman" w:hAnsi="Times New Roman" w:eastAsia="宋体"/>
                <w:b/>
                <w:bCs/>
                <w:snapToGrid w:val="0"/>
                <w:color w:val="auto"/>
                <w:spacing w:val="-6"/>
                <w:kern w:val="21"/>
                <w:sz w:val="20"/>
                <w:szCs w:val="20"/>
                <w:highlight w:val="none"/>
              </w:rPr>
              <w:t>物</w:t>
            </w:r>
            <w:r>
              <w:rPr>
                <w:rFonts w:ascii="Times New Roman" w:hAnsi="Times New Roman" w:eastAsia="宋体"/>
                <w:b/>
                <w:bCs/>
                <w:snapToGrid w:val="0"/>
                <w:color w:val="auto"/>
                <w:spacing w:val="-6"/>
                <w:kern w:val="21"/>
                <w:sz w:val="20"/>
                <w:szCs w:val="20"/>
                <w:highlight w:val="none"/>
              </w:rPr>
              <w:t>产生量）</w:t>
            </w:r>
            <w:r>
              <w:rPr>
                <w:rFonts w:ascii="Times New Roman" w:hAnsi="Times New Roman" w:eastAsia="宋体"/>
                <w:b/>
                <w:bCs/>
                <w:snapToGrid w:val="0"/>
                <w:color w:val="auto"/>
                <w:spacing w:val="-6"/>
                <w:kern w:val="21"/>
                <w:sz w:val="20"/>
                <w:szCs w:val="20"/>
                <w:highlight w:val="none"/>
              </w:rPr>
              <w:fldChar w:fldCharType="begin"/>
            </w:r>
            <w:r>
              <w:rPr>
                <w:rFonts w:ascii="Times New Roman" w:hAnsi="Times New Roman" w:eastAsia="宋体"/>
                <w:b/>
                <w:bCs/>
                <w:snapToGrid w:val="0"/>
                <w:color w:val="auto"/>
                <w:spacing w:val="-6"/>
                <w:kern w:val="21"/>
                <w:sz w:val="20"/>
                <w:szCs w:val="20"/>
                <w:highlight w:val="none"/>
              </w:rPr>
              <w:instrText xml:space="preserve"> = 4 \* GB3 \* MERGEFORMAT </w:instrText>
            </w:r>
            <w:r>
              <w:rPr>
                <w:rFonts w:ascii="Times New Roman" w:hAnsi="Times New Roman" w:eastAsia="宋体"/>
                <w:b/>
                <w:bCs/>
                <w:snapToGrid w:val="0"/>
                <w:color w:val="auto"/>
                <w:spacing w:val="-6"/>
                <w:kern w:val="21"/>
                <w:sz w:val="20"/>
                <w:szCs w:val="20"/>
                <w:highlight w:val="none"/>
              </w:rPr>
              <w:fldChar w:fldCharType="separate"/>
            </w:r>
            <w:r>
              <w:rPr>
                <w:rFonts w:hint="eastAsia" w:ascii="Times New Roman" w:hAnsi="Times New Roman" w:eastAsia="宋体" w:cs="宋体"/>
                <w:b/>
                <w:bCs/>
                <w:color w:val="auto"/>
                <w:kern w:val="2"/>
                <w:sz w:val="20"/>
                <w:szCs w:val="20"/>
                <w:highlight w:val="none"/>
              </w:rPr>
              <w:t>④</w:t>
            </w:r>
            <w:r>
              <w:rPr>
                <w:rFonts w:ascii="Times New Roman" w:hAnsi="Times New Roman" w:eastAsia="宋体"/>
                <w:b/>
                <w:bCs/>
                <w:snapToGrid w:val="0"/>
                <w:color w:val="auto"/>
                <w:spacing w:val="-6"/>
                <w:kern w:val="21"/>
                <w:sz w:val="20"/>
                <w:szCs w:val="20"/>
                <w:highlight w:val="none"/>
              </w:rPr>
              <w:fldChar w:fldCharType="end"/>
            </w:r>
          </w:p>
        </w:tc>
        <w:tc>
          <w:tcPr>
            <w:tcW w:w="533" w:type="pct"/>
            <w:noWrap w:val="0"/>
            <w:tcMar>
              <w:left w:w="28" w:type="dxa"/>
              <w:right w:w="28" w:type="dxa"/>
            </w:tcMar>
            <w:vAlign w:val="center"/>
          </w:tcPr>
          <w:p w14:paraId="32AF8A18">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b/>
                <w:bCs/>
                <w:snapToGrid w:val="0"/>
                <w:color w:val="auto"/>
                <w:spacing w:val="-16"/>
                <w:kern w:val="21"/>
                <w:sz w:val="20"/>
                <w:szCs w:val="20"/>
                <w:highlight w:val="none"/>
              </w:rPr>
            </w:pPr>
            <w:r>
              <w:rPr>
                <w:rFonts w:ascii="Times New Roman" w:hAnsi="Times New Roman" w:eastAsia="宋体"/>
                <w:b/>
                <w:bCs/>
                <w:snapToGrid w:val="0"/>
                <w:color w:val="auto"/>
                <w:spacing w:val="-16"/>
                <w:kern w:val="21"/>
                <w:sz w:val="20"/>
                <w:szCs w:val="20"/>
                <w:highlight w:val="none"/>
              </w:rPr>
              <w:t>以新带老削减量</w:t>
            </w:r>
          </w:p>
          <w:p w14:paraId="53FAEB8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b/>
                <w:bCs/>
                <w:snapToGrid w:val="0"/>
                <w:color w:val="auto"/>
                <w:spacing w:val="-16"/>
                <w:kern w:val="21"/>
                <w:sz w:val="20"/>
                <w:szCs w:val="20"/>
                <w:highlight w:val="none"/>
              </w:rPr>
            </w:pPr>
            <w:r>
              <w:rPr>
                <w:rFonts w:ascii="Times New Roman" w:hAnsi="Times New Roman" w:eastAsia="宋体"/>
                <w:b/>
                <w:bCs/>
                <w:snapToGrid w:val="0"/>
                <w:color w:val="auto"/>
                <w:spacing w:val="-16"/>
                <w:kern w:val="21"/>
                <w:sz w:val="20"/>
                <w:szCs w:val="20"/>
                <w:highlight w:val="none"/>
              </w:rPr>
              <w:t>（新建项目不填）</w:t>
            </w:r>
            <w:r>
              <w:rPr>
                <w:rFonts w:ascii="Times New Roman" w:hAnsi="Times New Roman" w:eastAsia="宋体"/>
                <w:b/>
                <w:bCs/>
                <w:snapToGrid w:val="0"/>
                <w:color w:val="auto"/>
                <w:spacing w:val="-16"/>
                <w:kern w:val="21"/>
                <w:sz w:val="20"/>
                <w:szCs w:val="20"/>
                <w:highlight w:val="none"/>
              </w:rPr>
              <w:fldChar w:fldCharType="begin"/>
            </w:r>
            <w:r>
              <w:rPr>
                <w:rFonts w:ascii="Times New Roman" w:hAnsi="Times New Roman" w:eastAsia="宋体"/>
                <w:b/>
                <w:bCs/>
                <w:snapToGrid w:val="0"/>
                <w:color w:val="auto"/>
                <w:spacing w:val="-16"/>
                <w:kern w:val="21"/>
                <w:sz w:val="20"/>
                <w:szCs w:val="20"/>
                <w:highlight w:val="none"/>
              </w:rPr>
              <w:instrText xml:space="preserve"> = 5 \* GB3 \* MERGEFORMAT </w:instrText>
            </w:r>
            <w:r>
              <w:rPr>
                <w:rFonts w:ascii="Times New Roman" w:hAnsi="Times New Roman" w:eastAsia="宋体"/>
                <w:b/>
                <w:bCs/>
                <w:snapToGrid w:val="0"/>
                <w:color w:val="auto"/>
                <w:spacing w:val="-16"/>
                <w:kern w:val="21"/>
                <w:sz w:val="20"/>
                <w:szCs w:val="20"/>
                <w:highlight w:val="none"/>
              </w:rPr>
              <w:fldChar w:fldCharType="separate"/>
            </w:r>
            <w:r>
              <w:rPr>
                <w:rFonts w:hint="eastAsia" w:ascii="Times New Roman" w:hAnsi="Times New Roman" w:eastAsia="宋体" w:cs="宋体"/>
                <w:b/>
                <w:bCs/>
                <w:color w:val="auto"/>
                <w:kern w:val="2"/>
                <w:sz w:val="20"/>
                <w:szCs w:val="20"/>
                <w:highlight w:val="none"/>
              </w:rPr>
              <w:t>⑤</w:t>
            </w:r>
            <w:r>
              <w:rPr>
                <w:rFonts w:ascii="Times New Roman" w:hAnsi="Times New Roman" w:eastAsia="宋体"/>
                <w:b/>
                <w:bCs/>
                <w:snapToGrid w:val="0"/>
                <w:color w:val="auto"/>
                <w:spacing w:val="-16"/>
                <w:kern w:val="21"/>
                <w:sz w:val="20"/>
                <w:szCs w:val="20"/>
                <w:highlight w:val="none"/>
              </w:rPr>
              <w:fldChar w:fldCharType="end"/>
            </w:r>
          </w:p>
        </w:tc>
        <w:tc>
          <w:tcPr>
            <w:tcW w:w="602" w:type="pct"/>
            <w:noWrap w:val="0"/>
            <w:tcMar>
              <w:left w:w="28" w:type="dxa"/>
              <w:right w:w="28" w:type="dxa"/>
            </w:tcMar>
            <w:vAlign w:val="center"/>
          </w:tcPr>
          <w:p w14:paraId="41F4DA13">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b/>
                <w:bCs/>
                <w:snapToGrid w:val="0"/>
                <w:color w:val="auto"/>
                <w:spacing w:val="-16"/>
                <w:kern w:val="21"/>
                <w:sz w:val="20"/>
                <w:szCs w:val="20"/>
                <w:highlight w:val="none"/>
              </w:rPr>
            </w:pPr>
            <w:r>
              <w:rPr>
                <w:rFonts w:ascii="Times New Roman" w:hAnsi="Times New Roman" w:eastAsia="宋体"/>
                <w:b/>
                <w:bCs/>
                <w:snapToGrid w:val="0"/>
                <w:color w:val="auto"/>
                <w:spacing w:val="-16"/>
                <w:kern w:val="21"/>
                <w:sz w:val="20"/>
                <w:szCs w:val="20"/>
                <w:highlight w:val="none"/>
              </w:rPr>
              <w:t>本项目建成后</w:t>
            </w:r>
          </w:p>
          <w:p w14:paraId="083E641F">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b/>
                <w:bCs/>
                <w:snapToGrid w:val="0"/>
                <w:color w:val="auto"/>
                <w:spacing w:val="-16"/>
                <w:kern w:val="21"/>
                <w:sz w:val="20"/>
                <w:szCs w:val="20"/>
                <w:highlight w:val="none"/>
              </w:rPr>
            </w:pPr>
            <w:r>
              <w:rPr>
                <w:rFonts w:hint="eastAsia" w:ascii="Times New Roman" w:hAnsi="Times New Roman" w:eastAsia="宋体"/>
                <w:b/>
                <w:bCs/>
                <w:snapToGrid w:val="0"/>
                <w:color w:val="auto"/>
                <w:spacing w:val="-16"/>
                <w:kern w:val="21"/>
                <w:sz w:val="20"/>
                <w:szCs w:val="20"/>
                <w:highlight w:val="none"/>
              </w:rPr>
              <w:t>全厂</w:t>
            </w:r>
            <w:r>
              <w:rPr>
                <w:rFonts w:ascii="Times New Roman" w:hAnsi="Times New Roman" w:eastAsia="宋体"/>
                <w:b/>
                <w:bCs/>
                <w:snapToGrid w:val="0"/>
                <w:color w:val="auto"/>
                <w:spacing w:val="-16"/>
                <w:kern w:val="21"/>
                <w:sz w:val="20"/>
                <w:szCs w:val="20"/>
                <w:highlight w:val="none"/>
              </w:rPr>
              <w:t>排放量（固</w:t>
            </w:r>
            <w:r>
              <w:rPr>
                <w:rFonts w:hint="eastAsia" w:ascii="Times New Roman" w:hAnsi="Times New Roman" w:eastAsia="宋体"/>
                <w:b/>
                <w:bCs/>
                <w:snapToGrid w:val="0"/>
                <w:color w:val="auto"/>
                <w:spacing w:val="-16"/>
                <w:kern w:val="21"/>
                <w:sz w:val="20"/>
                <w:szCs w:val="20"/>
                <w:highlight w:val="none"/>
              </w:rPr>
              <w:t>体</w:t>
            </w:r>
            <w:r>
              <w:rPr>
                <w:rFonts w:ascii="Times New Roman" w:hAnsi="Times New Roman" w:eastAsia="宋体"/>
                <w:b/>
                <w:bCs/>
                <w:snapToGrid w:val="0"/>
                <w:color w:val="auto"/>
                <w:spacing w:val="-16"/>
                <w:kern w:val="21"/>
                <w:sz w:val="20"/>
                <w:szCs w:val="20"/>
                <w:highlight w:val="none"/>
              </w:rPr>
              <w:t>废</w:t>
            </w:r>
            <w:r>
              <w:rPr>
                <w:rFonts w:hint="eastAsia" w:ascii="Times New Roman" w:hAnsi="Times New Roman" w:eastAsia="宋体"/>
                <w:b/>
                <w:bCs/>
                <w:snapToGrid w:val="0"/>
                <w:color w:val="auto"/>
                <w:spacing w:val="-16"/>
                <w:kern w:val="21"/>
                <w:sz w:val="20"/>
                <w:szCs w:val="20"/>
                <w:highlight w:val="none"/>
              </w:rPr>
              <w:t>物</w:t>
            </w:r>
            <w:r>
              <w:rPr>
                <w:rFonts w:ascii="Times New Roman" w:hAnsi="Times New Roman" w:eastAsia="宋体"/>
                <w:b/>
                <w:bCs/>
                <w:snapToGrid w:val="0"/>
                <w:color w:val="auto"/>
                <w:spacing w:val="-16"/>
                <w:kern w:val="21"/>
                <w:sz w:val="20"/>
                <w:szCs w:val="20"/>
                <w:highlight w:val="none"/>
              </w:rPr>
              <w:t>产生量）</w:t>
            </w:r>
            <w:r>
              <w:rPr>
                <w:rFonts w:ascii="Times New Roman" w:hAnsi="Times New Roman" w:eastAsia="宋体"/>
                <w:b/>
                <w:bCs/>
                <w:snapToGrid w:val="0"/>
                <w:color w:val="auto"/>
                <w:spacing w:val="-16"/>
                <w:kern w:val="21"/>
                <w:sz w:val="20"/>
                <w:szCs w:val="20"/>
                <w:highlight w:val="none"/>
              </w:rPr>
              <w:fldChar w:fldCharType="begin"/>
            </w:r>
            <w:r>
              <w:rPr>
                <w:rFonts w:ascii="Times New Roman" w:hAnsi="Times New Roman" w:eastAsia="宋体"/>
                <w:b/>
                <w:bCs/>
                <w:snapToGrid w:val="0"/>
                <w:color w:val="auto"/>
                <w:spacing w:val="-16"/>
                <w:kern w:val="21"/>
                <w:sz w:val="20"/>
                <w:szCs w:val="20"/>
                <w:highlight w:val="none"/>
              </w:rPr>
              <w:instrText xml:space="preserve"> = 6 \* GB3 \* MERGEFORMAT </w:instrText>
            </w:r>
            <w:r>
              <w:rPr>
                <w:rFonts w:ascii="Times New Roman" w:hAnsi="Times New Roman" w:eastAsia="宋体"/>
                <w:b/>
                <w:bCs/>
                <w:snapToGrid w:val="0"/>
                <w:color w:val="auto"/>
                <w:spacing w:val="-16"/>
                <w:kern w:val="21"/>
                <w:sz w:val="20"/>
                <w:szCs w:val="20"/>
                <w:highlight w:val="none"/>
              </w:rPr>
              <w:fldChar w:fldCharType="separate"/>
            </w:r>
            <w:r>
              <w:rPr>
                <w:rFonts w:hint="eastAsia" w:ascii="Times New Roman" w:hAnsi="Times New Roman" w:eastAsia="宋体" w:cs="宋体"/>
                <w:b/>
                <w:bCs/>
                <w:color w:val="auto"/>
                <w:kern w:val="2"/>
                <w:sz w:val="20"/>
                <w:szCs w:val="20"/>
                <w:highlight w:val="none"/>
              </w:rPr>
              <w:t>⑥</w:t>
            </w:r>
            <w:r>
              <w:rPr>
                <w:rFonts w:ascii="Times New Roman" w:hAnsi="Times New Roman" w:eastAsia="宋体"/>
                <w:b/>
                <w:bCs/>
                <w:snapToGrid w:val="0"/>
                <w:color w:val="auto"/>
                <w:spacing w:val="-16"/>
                <w:kern w:val="21"/>
                <w:sz w:val="20"/>
                <w:szCs w:val="20"/>
                <w:highlight w:val="none"/>
              </w:rPr>
              <w:fldChar w:fldCharType="end"/>
            </w:r>
          </w:p>
        </w:tc>
        <w:tc>
          <w:tcPr>
            <w:tcW w:w="443" w:type="pct"/>
            <w:noWrap w:val="0"/>
            <w:tcMar>
              <w:left w:w="28" w:type="dxa"/>
              <w:right w:w="28" w:type="dxa"/>
            </w:tcMar>
            <w:vAlign w:val="center"/>
          </w:tcPr>
          <w:p w14:paraId="348A141A">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b/>
                <w:bCs/>
                <w:snapToGrid w:val="0"/>
                <w:color w:val="auto"/>
                <w:spacing w:val="-6"/>
                <w:kern w:val="21"/>
                <w:sz w:val="20"/>
                <w:szCs w:val="20"/>
                <w:highlight w:val="none"/>
              </w:rPr>
            </w:pPr>
            <w:r>
              <w:rPr>
                <w:rFonts w:ascii="Times New Roman" w:hAnsi="Times New Roman" w:eastAsia="宋体"/>
                <w:b/>
                <w:bCs/>
                <w:snapToGrid w:val="0"/>
                <w:color w:val="auto"/>
                <w:spacing w:val="-6"/>
                <w:kern w:val="21"/>
                <w:sz w:val="20"/>
                <w:szCs w:val="20"/>
                <w:highlight w:val="none"/>
              </w:rPr>
              <w:t>变化量</w:t>
            </w:r>
          </w:p>
          <w:p w14:paraId="071DB756">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b/>
                <w:bCs/>
                <w:snapToGrid w:val="0"/>
                <w:color w:val="auto"/>
                <w:spacing w:val="-6"/>
                <w:kern w:val="21"/>
                <w:sz w:val="20"/>
                <w:szCs w:val="20"/>
                <w:highlight w:val="none"/>
              </w:rPr>
            </w:pPr>
            <w:r>
              <w:rPr>
                <w:rFonts w:ascii="Times New Roman" w:hAnsi="Times New Roman" w:eastAsia="宋体"/>
                <w:b/>
                <w:bCs/>
                <w:snapToGrid w:val="0"/>
                <w:color w:val="auto"/>
                <w:spacing w:val="-6"/>
                <w:kern w:val="21"/>
                <w:sz w:val="20"/>
                <w:szCs w:val="20"/>
                <w:highlight w:val="none"/>
              </w:rPr>
              <w:fldChar w:fldCharType="begin"/>
            </w:r>
            <w:r>
              <w:rPr>
                <w:rFonts w:ascii="Times New Roman" w:hAnsi="Times New Roman" w:eastAsia="宋体"/>
                <w:b/>
                <w:bCs/>
                <w:snapToGrid w:val="0"/>
                <w:color w:val="auto"/>
                <w:spacing w:val="-6"/>
                <w:kern w:val="21"/>
                <w:sz w:val="20"/>
                <w:szCs w:val="20"/>
                <w:highlight w:val="none"/>
              </w:rPr>
              <w:instrText xml:space="preserve"> = 7 \* GB3 \* MERGEFORMAT </w:instrText>
            </w:r>
            <w:r>
              <w:rPr>
                <w:rFonts w:ascii="Times New Roman" w:hAnsi="Times New Roman" w:eastAsia="宋体"/>
                <w:b/>
                <w:bCs/>
                <w:snapToGrid w:val="0"/>
                <w:color w:val="auto"/>
                <w:spacing w:val="-6"/>
                <w:kern w:val="21"/>
                <w:sz w:val="20"/>
                <w:szCs w:val="20"/>
                <w:highlight w:val="none"/>
              </w:rPr>
              <w:fldChar w:fldCharType="separate"/>
            </w:r>
            <w:r>
              <w:rPr>
                <w:rFonts w:hint="eastAsia" w:ascii="Times New Roman" w:hAnsi="Times New Roman" w:eastAsia="宋体" w:cs="宋体"/>
                <w:b/>
                <w:bCs/>
                <w:color w:val="auto"/>
                <w:kern w:val="2"/>
                <w:sz w:val="20"/>
                <w:szCs w:val="20"/>
                <w:highlight w:val="none"/>
              </w:rPr>
              <w:t>⑦</w:t>
            </w:r>
            <w:r>
              <w:rPr>
                <w:rFonts w:ascii="Times New Roman" w:hAnsi="Times New Roman" w:eastAsia="宋体"/>
                <w:b/>
                <w:bCs/>
                <w:snapToGrid w:val="0"/>
                <w:color w:val="auto"/>
                <w:spacing w:val="-6"/>
                <w:kern w:val="21"/>
                <w:sz w:val="20"/>
                <w:szCs w:val="20"/>
                <w:highlight w:val="none"/>
              </w:rPr>
              <w:fldChar w:fldCharType="end"/>
            </w:r>
          </w:p>
        </w:tc>
      </w:tr>
      <w:tr w14:paraId="28E7EE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restart"/>
            <w:noWrap w:val="0"/>
            <w:vAlign w:val="center"/>
          </w:tcPr>
          <w:p w14:paraId="50BFDFF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rPr>
              <w:t>废气</w:t>
            </w:r>
          </w:p>
        </w:tc>
        <w:tc>
          <w:tcPr>
            <w:tcW w:w="694" w:type="pct"/>
            <w:noWrap w:val="0"/>
            <w:vAlign w:val="center"/>
          </w:tcPr>
          <w:p w14:paraId="394E864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颗粒物</w:t>
            </w:r>
          </w:p>
        </w:tc>
        <w:tc>
          <w:tcPr>
            <w:tcW w:w="602" w:type="pct"/>
            <w:noWrap w:val="0"/>
            <w:vAlign w:val="center"/>
          </w:tcPr>
          <w:p w14:paraId="189B98C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390" w:type="pct"/>
            <w:noWrap w:val="0"/>
            <w:vAlign w:val="center"/>
          </w:tcPr>
          <w:p w14:paraId="7DD0B0D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584" w:type="pct"/>
            <w:noWrap w:val="0"/>
            <w:vAlign w:val="center"/>
          </w:tcPr>
          <w:p w14:paraId="00A6DFF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21" w:type="pct"/>
            <w:noWrap w:val="0"/>
            <w:vAlign w:val="center"/>
          </w:tcPr>
          <w:p w14:paraId="7D80AAC9">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533" w:type="pct"/>
            <w:noWrap w:val="0"/>
            <w:vAlign w:val="center"/>
          </w:tcPr>
          <w:p w14:paraId="127ABB8A">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02" w:type="pct"/>
            <w:noWrap w:val="0"/>
            <w:vAlign w:val="center"/>
          </w:tcPr>
          <w:p w14:paraId="55CAA919">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cs="宋体"/>
                <w:b w:val="0"/>
                <w:bCs w:val="0"/>
                <w:snapToGrid w:val="0"/>
                <w:color w:val="auto"/>
                <w:kern w:val="21"/>
                <w:sz w:val="20"/>
                <w:szCs w:val="20"/>
                <w:highlight w:val="none"/>
                <w:lang w:val="en-US" w:eastAsia="zh-CN" w:bidi="ar-SA"/>
              </w:rPr>
              <w:t>/</w:t>
            </w:r>
          </w:p>
        </w:tc>
        <w:tc>
          <w:tcPr>
            <w:tcW w:w="443" w:type="pct"/>
            <w:noWrap w:val="0"/>
            <w:vAlign w:val="center"/>
          </w:tcPr>
          <w:p w14:paraId="06422E6C">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r>
      <w:tr w14:paraId="1AEEE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3EA7820A">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rPr>
            </w:pPr>
          </w:p>
        </w:tc>
        <w:tc>
          <w:tcPr>
            <w:tcW w:w="694" w:type="pct"/>
            <w:noWrap w:val="0"/>
            <w:vAlign w:val="center"/>
          </w:tcPr>
          <w:p w14:paraId="1F42A3E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ascii="Times New Roman" w:hAnsi="Times New Roman" w:eastAsia="宋体"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二甲苯</w:t>
            </w:r>
          </w:p>
        </w:tc>
        <w:tc>
          <w:tcPr>
            <w:tcW w:w="602" w:type="pct"/>
            <w:noWrap w:val="0"/>
            <w:vAlign w:val="center"/>
          </w:tcPr>
          <w:p w14:paraId="749F8A34">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390" w:type="pct"/>
            <w:noWrap w:val="0"/>
            <w:vAlign w:val="center"/>
          </w:tcPr>
          <w:p w14:paraId="41FBA4EA">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584" w:type="pct"/>
            <w:noWrap w:val="0"/>
            <w:vAlign w:val="center"/>
          </w:tcPr>
          <w:p w14:paraId="48BD3BF4">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21" w:type="pct"/>
            <w:noWrap w:val="0"/>
            <w:vAlign w:val="center"/>
          </w:tcPr>
          <w:p w14:paraId="3C27ED3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533" w:type="pct"/>
            <w:noWrap w:val="0"/>
            <w:vAlign w:val="center"/>
          </w:tcPr>
          <w:p w14:paraId="3AFCCA6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02" w:type="pct"/>
            <w:noWrap w:val="0"/>
            <w:vAlign w:val="center"/>
          </w:tcPr>
          <w:p w14:paraId="4D3B98D3">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cs="宋体"/>
                <w:b w:val="0"/>
                <w:bCs w:val="0"/>
                <w:snapToGrid w:val="0"/>
                <w:color w:val="auto"/>
                <w:kern w:val="21"/>
                <w:sz w:val="20"/>
                <w:szCs w:val="20"/>
                <w:highlight w:val="none"/>
                <w:lang w:val="en-US" w:eastAsia="zh-CN" w:bidi="ar-SA"/>
              </w:rPr>
              <w:t>/</w:t>
            </w:r>
          </w:p>
        </w:tc>
        <w:tc>
          <w:tcPr>
            <w:tcW w:w="443" w:type="pct"/>
            <w:noWrap w:val="0"/>
            <w:vAlign w:val="center"/>
          </w:tcPr>
          <w:p w14:paraId="341868C3">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r>
      <w:tr w14:paraId="119DDE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5D2954EC">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rPr>
            </w:pPr>
          </w:p>
        </w:tc>
        <w:tc>
          <w:tcPr>
            <w:tcW w:w="694" w:type="pct"/>
            <w:noWrap w:val="0"/>
            <w:vAlign w:val="center"/>
          </w:tcPr>
          <w:p w14:paraId="70243E4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auto"/>
                <w:kern w:val="0"/>
                <w:sz w:val="20"/>
                <w:szCs w:val="20"/>
                <w:highlight w:val="none"/>
                <w:lang w:val="en-US" w:eastAsia="zh-CN" w:bidi="ar-SA"/>
              </w:rPr>
            </w:pPr>
            <w:r>
              <w:rPr>
                <w:rFonts w:hint="eastAsia" w:ascii="Times New Roman" w:cs="Times New Roman"/>
                <w:b w:val="0"/>
                <w:bCs w:val="0"/>
                <w:color w:val="auto"/>
                <w:sz w:val="20"/>
                <w:szCs w:val="20"/>
                <w:highlight w:val="none"/>
                <w:lang w:val="en-US" w:eastAsia="zh-CN"/>
              </w:rPr>
              <w:t>非甲烷总烃</w:t>
            </w:r>
          </w:p>
        </w:tc>
        <w:tc>
          <w:tcPr>
            <w:tcW w:w="602" w:type="pct"/>
            <w:noWrap w:val="0"/>
            <w:vAlign w:val="center"/>
          </w:tcPr>
          <w:p w14:paraId="6792168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390" w:type="pct"/>
            <w:noWrap w:val="0"/>
            <w:vAlign w:val="center"/>
          </w:tcPr>
          <w:p w14:paraId="71474AFC">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584" w:type="pct"/>
            <w:noWrap w:val="0"/>
            <w:vAlign w:val="center"/>
          </w:tcPr>
          <w:p w14:paraId="6BF83898">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21" w:type="pct"/>
            <w:noWrap w:val="0"/>
            <w:vAlign w:val="center"/>
          </w:tcPr>
          <w:p w14:paraId="07D1C449">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0.106</w:t>
            </w:r>
          </w:p>
        </w:tc>
        <w:tc>
          <w:tcPr>
            <w:tcW w:w="533" w:type="pct"/>
            <w:noWrap w:val="0"/>
            <w:vAlign w:val="center"/>
          </w:tcPr>
          <w:p w14:paraId="4647C33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02" w:type="pct"/>
            <w:noWrap w:val="0"/>
            <w:vAlign w:val="center"/>
          </w:tcPr>
          <w:p w14:paraId="2EE8F762">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cs="宋体"/>
                <w:b w:val="0"/>
                <w:bCs w:val="0"/>
                <w:snapToGrid w:val="0"/>
                <w:color w:val="auto"/>
                <w:kern w:val="21"/>
                <w:sz w:val="20"/>
                <w:szCs w:val="20"/>
                <w:highlight w:val="none"/>
                <w:lang w:val="en-US" w:eastAsia="zh-CN" w:bidi="ar-SA"/>
              </w:rPr>
              <w:t>0.106</w:t>
            </w:r>
          </w:p>
        </w:tc>
        <w:tc>
          <w:tcPr>
            <w:tcW w:w="443" w:type="pct"/>
            <w:noWrap w:val="0"/>
            <w:vAlign w:val="center"/>
          </w:tcPr>
          <w:p w14:paraId="6FB7B832">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r>
      <w:tr w14:paraId="6219F5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7EF8223D">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rPr>
            </w:pPr>
          </w:p>
        </w:tc>
        <w:tc>
          <w:tcPr>
            <w:tcW w:w="694" w:type="pct"/>
            <w:noWrap w:val="0"/>
            <w:vAlign w:val="center"/>
          </w:tcPr>
          <w:p w14:paraId="6AFA8CF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auto"/>
                <w:sz w:val="20"/>
                <w:szCs w:val="20"/>
                <w:highlight w:val="none"/>
                <w:lang w:val="en-US" w:eastAsia="zh-CN"/>
              </w:rPr>
            </w:pPr>
            <w:r>
              <w:rPr>
                <w:rFonts w:hint="eastAsia" w:ascii="Times New Roman" w:cs="Times New Roman"/>
                <w:b w:val="0"/>
                <w:bCs w:val="0"/>
                <w:color w:val="auto"/>
                <w:sz w:val="20"/>
                <w:szCs w:val="20"/>
                <w:highlight w:val="none"/>
                <w:lang w:val="en-US" w:eastAsia="zh-CN"/>
              </w:rPr>
              <w:t>二氧化硫</w:t>
            </w:r>
          </w:p>
        </w:tc>
        <w:tc>
          <w:tcPr>
            <w:tcW w:w="602" w:type="pct"/>
            <w:noWrap w:val="0"/>
            <w:vAlign w:val="center"/>
          </w:tcPr>
          <w:p w14:paraId="105A4B4A">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390" w:type="pct"/>
            <w:noWrap w:val="0"/>
            <w:vAlign w:val="center"/>
          </w:tcPr>
          <w:p w14:paraId="294B039D">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584" w:type="pct"/>
            <w:noWrap w:val="0"/>
            <w:vAlign w:val="center"/>
          </w:tcPr>
          <w:p w14:paraId="08C87B2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21" w:type="pct"/>
            <w:noWrap w:val="0"/>
            <w:vAlign w:val="center"/>
          </w:tcPr>
          <w:p w14:paraId="6DBFB82F">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533" w:type="pct"/>
            <w:noWrap w:val="0"/>
            <w:vAlign w:val="center"/>
          </w:tcPr>
          <w:p w14:paraId="55D584D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cs="宋体"/>
                <w:b w:val="0"/>
                <w:bCs w:val="0"/>
                <w:snapToGrid w:val="0"/>
                <w:color w:val="auto"/>
                <w:kern w:val="21"/>
                <w:sz w:val="20"/>
                <w:szCs w:val="20"/>
                <w:highlight w:val="none"/>
                <w:lang w:val="en-US" w:eastAsia="zh-CN"/>
              </w:rPr>
              <w:t>/</w:t>
            </w:r>
          </w:p>
        </w:tc>
        <w:tc>
          <w:tcPr>
            <w:tcW w:w="602" w:type="pct"/>
            <w:noWrap w:val="0"/>
            <w:vAlign w:val="center"/>
          </w:tcPr>
          <w:p w14:paraId="569E2F4A">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cs="宋体"/>
                <w:b w:val="0"/>
                <w:bCs w:val="0"/>
                <w:snapToGrid w:val="0"/>
                <w:color w:val="auto"/>
                <w:kern w:val="21"/>
                <w:sz w:val="20"/>
                <w:szCs w:val="20"/>
                <w:highlight w:val="none"/>
                <w:lang w:val="en-US" w:eastAsia="zh-CN" w:bidi="ar-SA"/>
              </w:rPr>
              <w:t>/</w:t>
            </w:r>
          </w:p>
        </w:tc>
        <w:tc>
          <w:tcPr>
            <w:tcW w:w="443" w:type="pct"/>
            <w:noWrap w:val="0"/>
            <w:vAlign w:val="center"/>
          </w:tcPr>
          <w:p w14:paraId="704D2CC5">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cs="宋体"/>
                <w:b w:val="0"/>
                <w:bCs w:val="0"/>
                <w:snapToGrid w:val="0"/>
                <w:color w:val="auto"/>
                <w:kern w:val="21"/>
                <w:sz w:val="20"/>
                <w:szCs w:val="20"/>
                <w:highlight w:val="none"/>
                <w:lang w:val="en-US" w:eastAsia="zh-CN"/>
              </w:rPr>
              <w:t>/</w:t>
            </w:r>
          </w:p>
        </w:tc>
      </w:tr>
      <w:tr w14:paraId="334DA7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1F76A6D7">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rPr>
            </w:pPr>
          </w:p>
        </w:tc>
        <w:tc>
          <w:tcPr>
            <w:tcW w:w="694" w:type="pct"/>
            <w:noWrap w:val="0"/>
            <w:vAlign w:val="center"/>
          </w:tcPr>
          <w:p w14:paraId="66B0575A">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cs="Times New Roman"/>
                <w:b w:val="0"/>
                <w:bCs w:val="0"/>
                <w:color w:val="auto"/>
                <w:sz w:val="20"/>
                <w:szCs w:val="20"/>
                <w:highlight w:val="none"/>
                <w:lang w:val="en-US" w:eastAsia="zh-CN"/>
              </w:rPr>
            </w:pPr>
            <w:r>
              <w:rPr>
                <w:rFonts w:hint="eastAsia" w:ascii="Times New Roman" w:cs="Times New Roman"/>
                <w:b w:val="0"/>
                <w:bCs w:val="0"/>
                <w:color w:val="auto"/>
                <w:sz w:val="20"/>
                <w:szCs w:val="20"/>
                <w:highlight w:val="none"/>
                <w:lang w:val="en-US" w:eastAsia="zh-CN"/>
              </w:rPr>
              <w:t>氮氧化物</w:t>
            </w:r>
          </w:p>
        </w:tc>
        <w:tc>
          <w:tcPr>
            <w:tcW w:w="602" w:type="pct"/>
            <w:noWrap w:val="0"/>
            <w:vAlign w:val="center"/>
          </w:tcPr>
          <w:p w14:paraId="7A1AE432">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390" w:type="pct"/>
            <w:noWrap w:val="0"/>
            <w:vAlign w:val="center"/>
          </w:tcPr>
          <w:p w14:paraId="23738687">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584" w:type="pct"/>
            <w:noWrap w:val="0"/>
            <w:vAlign w:val="center"/>
          </w:tcPr>
          <w:p w14:paraId="1004032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21" w:type="pct"/>
            <w:noWrap w:val="0"/>
            <w:vAlign w:val="center"/>
          </w:tcPr>
          <w:p w14:paraId="760899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cs="宋体"/>
                <w:b w:val="0"/>
                <w:bCs w:val="0"/>
                <w:snapToGrid w:val="0"/>
                <w:color w:val="auto"/>
                <w:kern w:val="21"/>
                <w:sz w:val="20"/>
                <w:szCs w:val="20"/>
                <w:highlight w:val="none"/>
                <w:lang w:val="en-US" w:eastAsia="zh-CN"/>
              </w:rPr>
              <w:t>/</w:t>
            </w:r>
          </w:p>
        </w:tc>
        <w:tc>
          <w:tcPr>
            <w:tcW w:w="533" w:type="pct"/>
            <w:noWrap w:val="0"/>
            <w:vAlign w:val="center"/>
          </w:tcPr>
          <w:p w14:paraId="6E65CB5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602" w:type="pct"/>
            <w:noWrap w:val="0"/>
            <w:vAlign w:val="center"/>
          </w:tcPr>
          <w:p w14:paraId="0CD6B1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cs="宋体"/>
                <w:b w:val="0"/>
                <w:bCs w:val="0"/>
                <w:snapToGrid w:val="0"/>
                <w:color w:val="auto"/>
                <w:kern w:val="21"/>
                <w:sz w:val="20"/>
                <w:szCs w:val="20"/>
                <w:highlight w:val="none"/>
                <w:lang w:val="en-US" w:eastAsia="zh-CN"/>
              </w:rPr>
            </w:pPr>
            <w:r>
              <w:rPr>
                <w:rFonts w:hint="eastAsia" w:cs="宋体"/>
                <w:b w:val="0"/>
                <w:bCs w:val="0"/>
                <w:snapToGrid w:val="0"/>
                <w:color w:val="auto"/>
                <w:kern w:val="21"/>
                <w:sz w:val="20"/>
                <w:szCs w:val="20"/>
                <w:highlight w:val="none"/>
                <w:lang w:val="en-US" w:eastAsia="zh-CN"/>
              </w:rPr>
              <w:t>/</w:t>
            </w:r>
          </w:p>
        </w:tc>
        <w:tc>
          <w:tcPr>
            <w:tcW w:w="443" w:type="pct"/>
            <w:noWrap w:val="0"/>
            <w:vAlign w:val="center"/>
          </w:tcPr>
          <w:p w14:paraId="2168CA07">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r>
      <w:tr w14:paraId="23959A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restart"/>
            <w:noWrap w:val="0"/>
            <w:vAlign w:val="center"/>
          </w:tcPr>
          <w:p w14:paraId="13259AC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废水</w:t>
            </w:r>
          </w:p>
        </w:tc>
        <w:tc>
          <w:tcPr>
            <w:tcW w:w="694" w:type="pct"/>
            <w:noWrap w:val="0"/>
            <w:vAlign w:val="center"/>
          </w:tcPr>
          <w:p w14:paraId="6287209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default"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COD</w:t>
            </w:r>
          </w:p>
        </w:tc>
        <w:tc>
          <w:tcPr>
            <w:tcW w:w="602" w:type="pct"/>
            <w:noWrap w:val="0"/>
            <w:vAlign w:val="center"/>
          </w:tcPr>
          <w:p w14:paraId="5AD37007">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390" w:type="pct"/>
            <w:noWrap w:val="0"/>
            <w:vAlign w:val="center"/>
          </w:tcPr>
          <w:p w14:paraId="1F2C2B34">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584" w:type="pct"/>
            <w:noWrap w:val="0"/>
            <w:vAlign w:val="center"/>
          </w:tcPr>
          <w:p w14:paraId="45B611B7">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21" w:type="pct"/>
            <w:noWrap w:val="0"/>
            <w:vAlign w:val="center"/>
          </w:tcPr>
          <w:p w14:paraId="0CCA2D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rPr>
            </w:pPr>
            <w:r>
              <w:rPr>
                <w:rFonts w:hint="eastAsia" w:cs="宋体"/>
                <w:b w:val="0"/>
                <w:bCs w:val="0"/>
                <w:snapToGrid w:val="0"/>
                <w:color w:val="FF0000"/>
                <w:kern w:val="21"/>
                <w:sz w:val="20"/>
                <w:szCs w:val="20"/>
                <w:highlight w:val="none"/>
                <w:lang w:val="en-US" w:eastAsia="zh-CN"/>
              </w:rPr>
              <w:t>0.115</w:t>
            </w:r>
          </w:p>
        </w:tc>
        <w:tc>
          <w:tcPr>
            <w:tcW w:w="533" w:type="pct"/>
            <w:noWrap w:val="0"/>
            <w:vAlign w:val="center"/>
          </w:tcPr>
          <w:p w14:paraId="131563D4">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FF0000"/>
                <w:kern w:val="21"/>
                <w:sz w:val="20"/>
                <w:szCs w:val="20"/>
                <w:highlight w:val="none"/>
              </w:rPr>
            </w:pPr>
            <w:r>
              <w:rPr>
                <w:rFonts w:hint="eastAsia" w:ascii="Times New Roman" w:hAnsi="Times New Roman" w:eastAsia="宋体" w:cs="宋体"/>
                <w:b w:val="0"/>
                <w:bCs w:val="0"/>
                <w:snapToGrid w:val="0"/>
                <w:color w:val="FF0000"/>
                <w:kern w:val="21"/>
                <w:sz w:val="20"/>
                <w:szCs w:val="20"/>
                <w:highlight w:val="none"/>
                <w:lang w:val="en-US" w:eastAsia="zh-CN"/>
              </w:rPr>
              <w:t>/</w:t>
            </w:r>
          </w:p>
        </w:tc>
        <w:tc>
          <w:tcPr>
            <w:tcW w:w="1707" w:type="dxa"/>
            <w:noWrap w:val="0"/>
            <w:vAlign w:val="center"/>
          </w:tcPr>
          <w:p w14:paraId="1A32E1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bidi="ar-SA"/>
              </w:rPr>
            </w:pPr>
            <w:r>
              <w:rPr>
                <w:rFonts w:hint="eastAsia" w:cs="宋体"/>
                <w:b w:val="0"/>
                <w:bCs w:val="0"/>
                <w:snapToGrid w:val="0"/>
                <w:color w:val="FF0000"/>
                <w:kern w:val="21"/>
                <w:sz w:val="20"/>
                <w:szCs w:val="20"/>
                <w:highlight w:val="none"/>
                <w:lang w:val="en-US" w:eastAsia="zh-CN"/>
              </w:rPr>
              <w:t>0.115</w:t>
            </w:r>
          </w:p>
        </w:tc>
        <w:tc>
          <w:tcPr>
            <w:tcW w:w="443" w:type="pct"/>
            <w:noWrap w:val="0"/>
            <w:vAlign w:val="center"/>
          </w:tcPr>
          <w:p w14:paraId="43F3000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r>
      <w:tr w14:paraId="660570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567CB0E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p>
        </w:tc>
        <w:tc>
          <w:tcPr>
            <w:tcW w:w="694" w:type="pct"/>
            <w:noWrap w:val="0"/>
            <w:vAlign w:val="center"/>
          </w:tcPr>
          <w:p w14:paraId="77C16E0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default"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BOD</w:t>
            </w:r>
            <w:r>
              <w:rPr>
                <w:rFonts w:hint="eastAsia" w:cs="宋体"/>
                <w:b w:val="0"/>
                <w:bCs/>
                <w:snapToGrid w:val="0"/>
                <w:color w:val="auto"/>
                <w:kern w:val="0"/>
                <w:sz w:val="20"/>
                <w:szCs w:val="20"/>
                <w:highlight w:val="none"/>
                <w:vertAlign w:val="subscript"/>
                <w:lang w:val="en-US" w:eastAsia="zh-CN" w:bidi="ar-SA"/>
              </w:rPr>
              <w:t>5</w:t>
            </w:r>
          </w:p>
        </w:tc>
        <w:tc>
          <w:tcPr>
            <w:tcW w:w="602" w:type="pct"/>
            <w:noWrap w:val="0"/>
            <w:vAlign w:val="center"/>
          </w:tcPr>
          <w:p w14:paraId="2A9B3337">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390" w:type="pct"/>
            <w:noWrap w:val="0"/>
            <w:vAlign w:val="center"/>
          </w:tcPr>
          <w:p w14:paraId="1B881C28">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584" w:type="pct"/>
            <w:noWrap w:val="0"/>
            <w:vAlign w:val="center"/>
          </w:tcPr>
          <w:p w14:paraId="446FEC7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21" w:type="pct"/>
            <w:noWrap w:val="0"/>
            <w:vAlign w:val="center"/>
          </w:tcPr>
          <w:p w14:paraId="757938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rPr>
            </w:pPr>
            <w:r>
              <w:rPr>
                <w:rFonts w:hint="eastAsia" w:cs="宋体"/>
                <w:b w:val="0"/>
                <w:bCs w:val="0"/>
                <w:snapToGrid w:val="0"/>
                <w:color w:val="FF0000"/>
                <w:kern w:val="21"/>
                <w:sz w:val="20"/>
                <w:szCs w:val="20"/>
                <w:highlight w:val="none"/>
                <w:lang w:val="en-US" w:eastAsia="zh-CN"/>
              </w:rPr>
              <w:t>0.059</w:t>
            </w:r>
          </w:p>
        </w:tc>
        <w:tc>
          <w:tcPr>
            <w:tcW w:w="533" w:type="pct"/>
            <w:noWrap w:val="0"/>
            <w:vAlign w:val="center"/>
          </w:tcPr>
          <w:p w14:paraId="258B5685">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FF0000"/>
                <w:kern w:val="21"/>
                <w:sz w:val="20"/>
                <w:szCs w:val="20"/>
                <w:highlight w:val="none"/>
              </w:rPr>
            </w:pPr>
            <w:r>
              <w:rPr>
                <w:rFonts w:hint="eastAsia" w:ascii="Times New Roman" w:hAnsi="Times New Roman" w:eastAsia="宋体" w:cs="宋体"/>
                <w:b w:val="0"/>
                <w:bCs w:val="0"/>
                <w:snapToGrid w:val="0"/>
                <w:color w:val="FF0000"/>
                <w:kern w:val="21"/>
                <w:sz w:val="20"/>
                <w:szCs w:val="20"/>
                <w:highlight w:val="none"/>
                <w:lang w:val="en-US" w:eastAsia="zh-CN"/>
              </w:rPr>
              <w:t>/</w:t>
            </w:r>
          </w:p>
        </w:tc>
        <w:tc>
          <w:tcPr>
            <w:tcW w:w="1707" w:type="dxa"/>
            <w:noWrap w:val="0"/>
            <w:vAlign w:val="center"/>
          </w:tcPr>
          <w:p w14:paraId="540184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bidi="ar-SA"/>
              </w:rPr>
            </w:pPr>
            <w:r>
              <w:rPr>
                <w:rFonts w:hint="eastAsia" w:cs="宋体"/>
                <w:b w:val="0"/>
                <w:bCs w:val="0"/>
                <w:snapToGrid w:val="0"/>
                <w:color w:val="FF0000"/>
                <w:kern w:val="21"/>
                <w:sz w:val="20"/>
                <w:szCs w:val="20"/>
                <w:highlight w:val="none"/>
                <w:lang w:val="en-US" w:eastAsia="zh-CN"/>
              </w:rPr>
              <w:t>0.059</w:t>
            </w:r>
          </w:p>
        </w:tc>
        <w:tc>
          <w:tcPr>
            <w:tcW w:w="443" w:type="pct"/>
            <w:noWrap w:val="0"/>
            <w:vAlign w:val="center"/>
          </w:tcPr>
          <w:p w14:paraId="78540E7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r>
      <w:tr w14:paraId="14FF6D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6E5DB40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p>
        </w:tc>
        <w:tc>
          <w:tcPr>
            <w:tcW w:w="694" w:type="pct"/>
            <w:noWrap w:val="0"/>
            <w:vAlign w:val="center"/>
          </w:tcPr>
          <w:p w14:paraId="5D77CCC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悬浮物</w:t>
            </w:r>
          </w:p>
        </w:tc>
        <w:tc>
          <w:tcPr>
            <w:tcW w:w="602" w:type="pct"/>
            <w:noWrap w:val="0"/>
            <w:vAlign w:val="center"/>
          </w:tcPr>
          <w:p w14:paraId="2598B57F">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390" w:type="pct"/>
            <w:noWrap w:val="0"/>
            <w:vAlign w:val="center"/>
          </w:tcPr>
          <w:p w14:paraId="3C064CC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584" w:type="pct"/>
            <w:noWrap w:val="0"/>
            <w:vAlign w:val="center"/>
          </w:tcPr>
          <w:p w14:paraId="3C299E15">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21" w:type="pct"/>
            <w:noWrap w:val="0"/>
            <w:vAlign w:val="center"/>
          </w:tcPr>
          <w:p w14:paraId="7F70AE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rPr>
            </w:pPr>
            <w:r>
              <w:rPr>
                <w:rFonts w:hint="eastAsia" w:cs="宋体"/>
                <w:b w:val="0"/>
                <w:bCs w:val="0"/>
                <w:snapToGrid w:val="0"/>
                <w:color w:val="FF0000"/>
                <w:kern w:val="21"/>
                <w:sz w:val="20"/>
                <w:szCs w:val="20"/>
                <w:highlight w:val="none"/>
                <w:lang w:val="en-US" w:eastAsia="zh-CN"/>
              </w:rPr>
              <w:t>0.044</w:t>
            </w:r>
          </w:p>
        </w:tc>
        <w:tc>
          <w:tcPr>
            <w:tcW w:w="533" w:type="pct"/>
            <w:noWrap w:val="0"/>
            <w:vAlign w:val="center"/>
          </w:tcPr>
          <w:p w14:paraId="6855DECC">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FF0000"/>
                <w:kern w:val="21"/>
                <w:sz w:val="20"/>
                <w:szCs w:val="20"/>
                <w:highlight w:val="none"/>
              </w:rPr>
            </w:pPr>
            <w:r>
              <w:rPr>
                <w:rFonts w:hint="eastAsia" w:ascii="Times New Roman" w:hAnsi="Times New Roman" w:eastAsia="宋体" w:cs="宋体"/>
                <w:b w:val="0"/>
                <w:bCs w:val="0"/>
                <w:snapToGrid w:val="0"/>
                <w:color w:val="FF0000"/>
                <w:kern w:val="21"/>
                <w:sz w:val="20"/>
                <w:szCs w:val="20"/>
                <w:highlight w:val="none"/>
                <w:lang w:val="en-US" w:eastAsia="zh-CN"/>
              </w:rPr>
              <w:t>/</w:t>
            </w:r>
          </w:p>
        </w:tc>
        <w:tc>
          <w:tcPr>
            <w:tcW w:w="1707" w:type="dxa"/>
            <w:noWrap w:val="0"/>
            <w:vAlign w:val="center"/>
          </w:tcPr>
          <w:p w14:paraId="388D68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bidi="ar-SA"/>
              </w:rPr>
            </w:pPr>
            <w:r>
              <w:rPr>
                <w:rFonts w:hint="eastAsia" w:cs="宋体"/>
                <w:b w:val="0"/>
                <w:bCs w:val="0"/>
                <w:snapToGrid w:val="0"/>
                <w:color w:val="FF0000"/>
                <w:kern w:val="21"/>
                <w:sz w:val="20"/>
                <w:szCs w:val="20"/>
                <w:highlight w:val="none"/>
                <w:lang w:val="en-US" w:eastAsia="zh-CN"/>
              </w:rPr>
              <w:t>0.044</w:t>
            </w:r>
          </w:p>
        </w:tc>
        <w:tc>
          <w:tcPr>
            <w:tcW w:w="443" w:type="pct"/>
            <w:noWrap w:val="0"/>
            <w:vAlign w:val="center"/>
          </w:tcPr>
          <w:p w14:paraId="3802830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r>
      <w:tr w14:paraId="5E4321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39EB1E3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p>
        </w:tc>
        <w:tc>
          <w:tcPr>
            <w:tcW w:w="694" w:type="pct"/>
            <w:noWrap w:val="0"/>
            <w:vAlign w:val="center"/>
          </w:tcPr>
          <w:p w14:paraId="219E361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r>
              <w:rPr>
                <w:rFonts w:hint="default" w:cs="宋体"/>
                <w:b w:val="0"/>
                <w:bCs/>
                <w:snapToGrid w:val="0"/>
                <w:color w:val="auto"/>
                <w:kern w:val="0"/>
                <w:sz w:val="20"/>
                <w:szCs w:val="20"/>
                <w:highlight w:val="none"/>
                <w:lang w:val="en-US" w:eastAsia="zh-CN" w:bidi="ar-SA"/>
              </w:rPr>
              <w:t>氨氮</w:t>
            </w:r>
          </w:p>
        </w:tc>
        <w:tc>
          <w:tcPr>
            <w:tcW w:w="602" w:type="pct"/>
            <w:noWrap w:val="0"/>
            <w:vAlign w:val="center"/>
          </w:tcPr>
          <w:p w14:paraId="3947748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390" w:type="pct"/>
            <w:noWrap w:val="0"/>
            <w:vAlign w:val="center"/>
          </w:tcPr>
          <w:p w14:paraId="13123FB1">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584" w:type="pct"/>
            <w:noWrap w:val="0"/>
            <w:vAlign w:val="center"/>
          </w:tcPr>
          <w:p w14:paraId="64C02FA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621" w:type="pct"/>
            <w:noWrap w:val="0"/>
            <w:vAlign w:val="center"/>
          </w:tcPr>
          <w:p w14:paraId="3CC641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rPr>
            </w:pPr>
            <w:r>
              <w:rPr>
                <w:rFonts w:hint="eastAsia" w:cs="宋体"/>
                <w:b w:val="0"/>
                <w:bCs w:val="0"/>
                <w:snapToGrid w:val="0"/>
                <w:color w:val="FF0000"/>
                <w:kern w:val="21"/>
                <w:sz w:val="20"/>
                <w:szCs w:val="20"/>
                <w:highlight w:val="none"/>
                <w:lang w:val="en-US" w:eastAsia="zh-CN"/>
              </w:rPr>
              <w:t>0.006</w:t>
            </w:r>
          </w:p>
        </w:tc>
        <w:tc>
          <w:tcPr>
            <w:tcW w:w="533" w:type="pct"/>
            <w:noWrap w:val="0"/>
            <w:vAlign w:val="center"/>
          </w:tcPr>
          <w:p w14:paraId="3BBE4427">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FF0000"/>
                <w:kern w:val="21"/>
                <w:sz w:val="20"/>
                <w:szCs w:val="20"/>
                <w:highlight w:val="none"/>
                <w:lang w:val="en-US" w:eastAsia="zh-CN"/>
              </w:rPr>
            </w:pPr>
            <w:r>
              <w:rPr>
                <w:rFonts w:hint="eastAsia" w:ascii="Times New Roman" w:cs="宋体"/>
                <w:b w:val="0"/>
                <w:bCs w:val="0"/>
                <w:snapToGrid w:val="0"/>
                <w:color w:val="FF0000"/>
                <w:kern w:val="21"/>
                <w:sz w:val="20"/>
                <w:szCs w:val="20"/>
                <w:highlight w:val="none"/>
                <w:lang w:val="en-US" w:eastAsia="zh-CN"/>
              </w:rPr>
              <w:t>/</w:t>
            </w:r>
          </w:p>
        </w:tc>
        <w:tc>
          <w:tcPr>
            <w:tcW w:w="1707" w:type="dxa"/>
            <w:noWrap w:val="0"/>
            <w:vAlign w:val="center"/>
          </w:tcPr>
          <w:p w14:paraId="51C195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bidi="ar-SA"/>
              </w:rPr>
            </w:pPr>
            <w:r>
              <w:rPr>
                <w:rFonts w:hint="eastAsia" w:cs="宋体"/>
                <w:b w:val="0"/>
                <w:bCs w:val="0"/>
                <w:snapToGrid w:val="0"/>
                <w:color w:val="FF0000"/>
                <w:kern w:val="21"/>
                <w:sz w:val="20"/>
                <w:szCs w:val="20"/>
                <w:highlight w:val="none"/>
                <w:lang w:val="en-US" w:eastAsia="zh-CN"/>
              </w:rPr>
              <w:t>0.006</w:t>
            </w:r>
          </w:p>
        </w:tc>
        <w:tc>
          <w:tcPr>
            <w:tcW w:w="443" w:type="pct"/>
            <w:noWrap w:val="0"/>
            <w:vAlign w:val="center"/>
          </w:tcPr>
          <w:p w14:paraId="457BD6D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cs="宋体"/>
                <w:b w:val="0"/>
                <w:bCs w:val="0"/>
                <w:snapToGrid w:val="0"/>
                <w:color w:val="auto"/>
                <w:kern w:val="21"/>
                <w:sz w:val="20"/>
                <w:szCs w:val="20"/>
                <w:highlight w:val="none"/>
                <w:lang w:val="en-US" w:eastAsia="zh-CN"/>
              </w:rPr>
              <w:t>/</w:t>
            </w:r>
          </w:p>
        </w:tc>
      </w:tr>
      <w:tr w14:paraId="4D6B30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56094DE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p>
        </w:tc>
        <w:tc>
          <w:tcPr>
            <w:tcW w:w="694" w:type="pct"/>
            <w:noWrap w:val="0"/>
            <w:vAlign w:val="center"/>
          </w:tcPr>
          <w:p w14:paraId="40179FC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总氮</w:t>
            </w:r>
          </w:p>
        </w:tc>
        <w:tc>
          <w:tcPr>
            <w:tcW w:w="602" w:type="pct"/>
            <w:noWrap w:val="0"/>
            <w:vAlign w:val="center"/>
          </w:tcPr>
          <w:p w14:paraId="69EBB9F2">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390" w:type="pct"/>
            <w:noWrap w:val="0"/>
            <w:vAlign w:val="center"/>
          </w:tcPr>
          <w:p w14:paraId="729D9946">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584" w:type="pct"/>
            <w:noWrap w:val="0"/>
            <w:vAlign w:val="center"/>
          </w:tcPr>
          <w:p w14:paraId="1B3459D2">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621" w:type="pct"/>
            <w:noWrap w:val="0"/>
            <w:vAlign w:val="center"/>
          </w:tcPr>
          <w:p w14:paraId="7FD5E5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rPr>
            </w:pPr>
            <w:r>
              <w:rPr>
                <w:rFonts w:hint="eastAsia" w:cs="宋体"/>
                <w:b w:val="0"/>
                <w:bCs w:val="0"/>
                <w:snapToGrid w:val="0"/>
                <w:color w:val="FF0000"/>
                <w:kern w:val="21"/>
                <w:sz w:val="20"/>
                <w:szCs w:val="20"/>
                <w:highlight w:val="none"/>
                <w:lang w:val="en-US" w:eastAsia="zh-CN"/>
              </w:rPr>
              <w:t>0.013</w:t>
            </w:r>
          </w:p>
        </w:tc>
        <w:tc>
          <w:tcPr>
            <w:tcW w:w="533" w:type="pct"/>
            <w:noWrap w:val="0"/>
            <w:vAlign w:val="center"/>
          </w:tcPr>
          <w:p w14:paraId="309534A2">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rPr>
            </w:pPr>
            <w:r>
              <w:rPr>
                <w:rFonts w:hint="eastAsia" w:ascii="Times New Roman" w:cs="宋体"/>
                <w:b w:val="0"/>
                <w:bCs w:val="0"/>
                <w:snapToGrid w:val="0"/>
                <w:color w:val="FF0000"/>
                <w:kern w:val="21"/>
                <w:sz w:val="20"/>
                <w:szCs w:val="20"/>
                <w:highlight w:val="none"/>
                <w:lang w:val="en-US" w:eastAsia="zh-CN"/>
              </w:rPr>
              <w:t>/</w:t>
            </w:r>
          </w:p>
        </w:tc>
        <w:tc>
          <w:tcPr>
            <w:tcW w:w="1707" w:type="dxa"/>
            <w:noWrap w:val="0"/>
            <w:vAlign w:val="center"/>
          </w:tcPr>
          <w:p w14:paraId="6784D0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bidi="ar-SA"/>
              </w:rPr>
            </w:pPr>
            <w:r>
              <w:rPr>
                <w:rFonts w:hint="eastAsia" w:cs="宋体"/>
                <w:b w:val="0"/>
                <w:bCs w:val="0"/>
                <w:snapToGrid w:val="0"/>
                <w:color w:val="FF0000"/>
                <w:kern w:val="21"/>
                <w:sz w:val="20"/>
                <w:szCs w:val="20"/>
                <w:highlight w:val="none"/>
                <w:lang w:val="en-US" w:eastAsia="zh-CN"/>
              </w:rPr>
              <w:t>0.013</w:t>
            </w:r>
          </w:p>
        </w:tc>
        <w:tc>
          <w:tcPr>
            <w:tcW w:w="443" w:type="pct"/>
            <w:noWrap w:val="0"/>
            <w:vAlign w:val="center"/>
          </w:tcPr>
          <w:p w14:paraId="76CA585C">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cs="宋体"/>
                <w:b w:val="0"/>
                <w:bCs w:val="0"/>
                <w:snapToGrid w:val="0"/>
                <w:color w:val="auto"/>
                <w:kern w:val="21"/>
                <w:sz w:val="20"/>
                <w:szCs w:val="20"/>
                <w:highlight w:val="none"/>
                <w:lang w:val="en-US" w:eastAsia="zh-CN"/>
              </w:rPr>
              <w:t>/</w:t>
            </w:r>
          </w:p>
        </w:tc>
      </w:tr>
      <w:tr w14:paraId="0BE133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568807A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p>
        </w:tc>
        <w:tc>
          <w:tcPr>
            <w:tcW w:w="694" w:type="pct"/>
            <w:noWrap w:val="0"/>
            <w:vAlign w:val="center"/>
          </w:tcPr>
          <w:p w14:paraId="4D8DC7B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总磷</w:t>
            </w:r>
          </w:p>
        </w:tc>
        <w:tc>
          <w:tcPr>
            <w:tcW w:w="602" w:type="pct"/>
            <w:noWrap w:val="0"/>
            <w:vAlign w:val="center"/>
          </w:tcPr>
          <w:p w14:paraId="3D659371">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390" w:type="pct"/>
            <w:noWrap w:val="0"/>
            <w:vAlign w:val="center"/>
          </w:tcPr>
          <w:p w14:paraId="551DB6F9">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584" w:type="pct"/>
            <w:noWrap w:val="0"/>
            <w:vAlign w:val="center"/>
          </w:tcPr>
          <w:p w14:paraId="4107D014">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621" w:type="pct"/>
            <w:noWrap w:val="0"/>
            <w:vAlign w:val="center"/>
          </w:tcPr>
          <w:p w14:paraId="4E67F6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rPr>
            </w:pPr>
            <w:r>
              <w:rPr>
                <w:rFonts w:hint="eastAsia" w:cs="宋体"/>
                <w:b w:val="0"/>
                <w:bCs w:val="0"/>
                <w:snapToGrid w:val="0"/>
                <w:color w:val="FF0000"/>
                <w:kern w:val="21"/>
                <w:sz w:val="20"/>
                <w:szCs w:val="20"/>
                <w:highlight w:val="none"/>
                <w:lang w:val="en-US" w:eastAsia="zh-CN"/>
              </w:rPr>
              <w:t>0.003</w:t>
            </w:r>
          </w:p>
        </w:tc>
        <w:tc>
          <w:tcPr>
            <w:tcW w:w="533" w:type="pct"/>
            <w:noWrap w:val="0"/>
            <w:vAlign w:val="center"/>
          </w:tcPr>
          <w:p w14:paraId="1F28A7D7">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rPr>
            </w:pPr>
            <w:r>
              <w:rPr>
                <w:rFonts w:hint="eastAsia" w:ascii="Times New Roman" w:cs="宋体"/>
                <w:b w:val="0"/>
                <w:bCs w:val="0"/>
                <w:snapToGrid w:val="0"/>
                <w:color w:val="FF0000"/>
                <w:kern w:val="21"/>
                <w:sz w:val="20"/>
                <w:szCs w:val="20"/>
                <w:highlight w:val="none"/>
                <w:lang w:val="en-US" w:eastAsia="zh-CN"/>
              </w:rPr>
              <w:t>/</w:t>
            </w:r>
          </w:p>
        </w:tc>
        <w:tc>
          <w:tcPr>
            <w:tcW w:w="1707" w:type="dxa"/>
            <w:noWrap w:val="0"/>
            <w:vAlign w:val="center"/>
          </w:tcPr>
          <w:p w14:paraId="35765F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bidi="ar-SA"/>
              </w:rPr>
            </w:pPr>
            <w:r>
              <w:rPr>
                <w:rFonts w:hint="eastAsia" w:cs="宋体"/>
                <w:b w:val="0"/>
                <w:bCs w:val="0"/>
                <w:snapToGrid w:val="0"/>
                <w:color w:val="FF0000"/>
                <w:kern w:val="21"/>
                <w:sz w:val="20"/>
                <w:szCs w:val="20"/>
                <w:highlight w:val="none"/>
                <w:lang w:val="en-US" w:eastAsia="zh-CN"/>
              </w:rPr>
              <w:t>0.003</w:t>
            </w:r>
          </w:p>
        </w:tc>
        <w:tc>
          <w:tcPr>
            <w:tcW w:w="443" w:type="pct"/>
            <w:noWrap w:val="0"/>
            <w:vAlign w:val="center"/>
          </w:tcPr>
          <w:p w14:paraId="4E789AF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cs="宋体"/>
                <w:b w:val="0"/>
                <w:bCs w:val="0"/>
                <w:snapToGrid w:val="0"/>
                <w:color w:val="auto"/>
                <w:kern w:val="21"/>
                <w:sz w:val="20"/>
                <w:szCs w:val="20"/>
                <w:highlight w:val="none"/>
                <w:lang w:val="en-US" w:eastAsia="zh-CN"/>
              </w:rPr>
              <w:t>/</w:t>
            </w:r>
          </w:p>
        </w:tc>
      </w:tr>
      <w:tr w14:paraId="3D7A0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restart"/>
            <w:noWrap w:val="0"/>
            <w:vAlign w:val="center"/>
          </w:tcPr>
          <w:p w14:paraId="534EA1B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一般工业固体废物</w:t>
            </w:r>
          </w:p>
        </w:tc>
        <w:tc>
          <w:tcPr>
            <w:tcW w:w="694" w:type="pct"/>
            <w:noWrap w:val="0"/>
            <w:vAlign w:val="center"/>
          </w:tcPr>
          <w:p w14:paraId="136CEB8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废包装材料</w:t>
            </w:r>
          </w:p>
        </w:tc>
        <w:tc>
          <w:tcPr>
            <w:tcW w:w="602" w:type="pct"/>
            <w:noWrap w:val="0"/>
            <w:vAlign w:val="center"/>
          </w:tcPr>
          <w:p w14:paraId="20738616">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390" w:type="pct"/>
            <w:noWrap w:val="0"/>
            <w:vAlign w:val="center"/>
          </w:tcPr>
          <w:p w14:paraId="5DD7E268">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584" w:type="pct"/>
            <w:noWrap w:val="0"/>
            <w:vAlign w:val="center"/>
          </w:tcPr>
          <w:p w14:paraId="363C8DF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21" w:type="pct"/>
            <w:noWrap w:val="0"/>
            <w:vAlign w:val="center"/>
          </w:tcPr>
          <w:p w14:paraId="2ACFF3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cs="宋体"/>
                <w:b w:val="0"/>
                <w:bCs w:val="0"/>
                <w:snapToGrid w:val="0"/>
                <w:color w:val="auto"/>
                <w:kern w:val="21"/>
                <w:sz w:val="20"/>
                <w:szCs w:val="20"/>
                <w:highlight w:val="none"/>
                <w:lang w:val="en-US" w:eastAsia="zh-CN"/>
              </w:rPr>
              <w:t>0.5</w:t>
            </w:r>
          </w:p>
        </w:tc>
        <w:tc>
          <w:tcPr>
            <w:tcW w:w="533" w:type="pct"/>
            <w:noWrap w:val="0"/>
            <w:vAlign w:val="center"/>
          </w:tcPr>
          <w:p w14:paraId="72244C0D">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02" w:type="pct"/>
            <w:noWrap w:val="0"/>
            <w:vAlign w:val="center"/>
          </w:tcPr>
          <w:p w14:paraId="73CD42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bidi="ar-SA"/>
              </w:rPr>
            </w:pPr>
            <w:r>
              <w:rPr>
                <w:rFonts w:hint="eastAsia" w:cs="宋体"/>
                <w:b w:val="0"/>
                <w:bCs w:val="0"/>
                <w:snapToGrid w:val="0"/>
                <w:color w:val="auto"/>
                <w:kern w:val="21"/>
                <w:sz w:val="20"/>
                <w:szCs w:val="20"/>
                <w:highlight w:val="none"/>
                <w:lang w:val="en-US" w:eastAsia="zh-CN"/>
              </w:rPr>
              <w:t>0.5</w:t>
            </w:r>
          </w:p>
        </w:tc>
        <w:tc>
          <w:tcPr>
            <w:tcW w:w="443" w:type="pct"/>
            <w:noWrap w:val="0"/>
            <w:vAlign w:val="center"/>
          </w:tcPr>
          <w:p w14:paraId="7D6AC441">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r>
      <w:tr w14:paraId="796DC8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6711A6C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p>
        </w:tc>
        <w:tc>
          <w:tcPr>
            <w:tcW w:w="694" w:type="pct"/>
            <w:noWrap w:val="0"/>
            <w:vAlign w:val="center"/>
          </w:tcPr>
          <w:p w14:paraId="0AAE9A6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en-US" w:bidi="ar-SA"/>
              </w:rPr>
            </w:pPr>
            <w:r>
              <w:rPr>
                <w:rFonts w:hint="eastAsia" w:cs="宋体"/>
                <w:b w:val="0"/>
                <w:bCs/>
                <w:snapToGrid w:val="0"/>
                <w:color w:val="auto"/>
                <w:kern w:val="0"/>
                <w:sz w:val="20"/>
                <w:szCs w:val="20"/>
                <w:highlight w:val="none"/>
                <w:lang w:val="en-US" w:eastAsia="en-US" w:bidi="ar-SA"/>
              </w:rPr>
              <w:t>过滤残渣、</w:t>
            </w:r>
            <w:r>
              <w:rPr>
                <w:rFonts w:hint="eastAsia" w:cs="宋体"/>
                <w:b w:val="0"/>
                <w:bCs/>
                <w:snapToGrid w:val="0"/>
                <w:color w:val="auto"/>
                <w:kern w:val="0"/>
                <w:sz w:val="20"/>
                <w:szCs w:val="20"/>
                <w:highlight w:val="none"/>
                <w:lang w:val="en-US" w:eastAsia="zh-CN" w:bidi="ar-SA"/>
              </w:rPr>
              <w:t>废烂</w:t>
            </w:r>
            <w:r>
              <w:rPr>
                <w:rFonts w:hint="eastAsia" w:cs="宋体"/>
                <w:b w:val="0"/>
                <w:bCs/>
                <w:snapToGrid w:val="0"/>
                <w:color w:val="auto"/>
                <w:kern w:val="0"/>
                <w:sz w:val="20"/>
                <w:szCs w:val="20"/>
                <w:highlight w:val="none"/>
                <w:lang w:val="en-US" w:eastAsia="en-US" w:bidi="ar-SA"/>
              </w:rPr>
              <w:t>果品</w:t>
            </w:r>
          </w:p>
        </w:tc>
        <w:tc>
          <w:tcPr>
            <w:tcW w:w="602" w:type="pct"/>
            <w:noWrap w:val="0"/>
            <w:vAlign w:val="center"/>
          </w:tcPr>
          <w:p w14:paraId="00E323BD">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390" w:type="pct"/>
            <w:noWrap w:val="0"/>
            <w:vAlign w:val="center"/>
          </w:tcPr>
          <w:p w14:paraId="36831DEA">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584" w:type="pct"/>
            <w:noWrap w:val="0"/>
            <w:vAlign w:val="center"/>
          </w:tcPr>
          <w:p w14:paraId="13B7A595">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21" w:type="pct"/>
            <w:noWrap w:val="0"/>
            <w:vAlign w:val="center"/>
          </w:tcPr>
          <w:p w14:paraId="2A5B75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rPr>
            </w:pPr>
            <w:r>
              <w:rPr>
                <w:rFonts w:hint="eastAsia" w:cs="宋体"/>
                <w:b w:val="0"/>
                <w:bCs w:val="0"/>
                <w:snapToGrid w:val="0"/>
                <w:color w:val="FF0000"/>
                <w:kern w:val="21"/>
                <w:sz w:val="20"/>
                <w:szCs w:val="20"/>
                <w:highlight w:val="none"/>
                <w:lang w:val="en-US" w:eastAsia="zh-CN"/>
              </w:rPr>
              <w:t>15.975</w:t>
            </w:r>
          </w:p>
        </w:tc>
        <w:tc>
          <w:tcPr>
            <w:tcW w:w="533" w:type="pct"/>
            <w:noWrap w:val="0"/>
            <w:vAlign w:val="center"/>
          </w:tcPr>
          <w:p w14:paraId="70CDC713">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FF0000"/>
                <w:kern w:val="21"/>
                <w:sz w:val="20"/>
                <w:szCs w:val="20"/>
                <w:highlight w:val="none"/>
              </w:rPr>
            </w:pPr>
            <w:r>
              <w:rPr>
                <w:rFonts w:hint="eastAsia" w:ascii="Times New Roman" w:hAnsi="Times New Roman" w:eastAsia="宋体" w:cs="宋体"/>
                <w:b w:val="0"/>
                <w:bCs w:val="0"/>
                <w:snapToGrid w:val="0"/>
                <w:color w:val="FF0000"/>
                <w:kern w:val="21"/>
                <w:sz w:val="20"/>
                <w:szCs w:val="20"/>
                <w:highlight w:val="none"/>
                <w:lang w:val="en-US" w:eastAsia="zh-CN"/>
              </w:rPr>
              <w:t>/</w:t>
            </w:r>
          </w:p>
        </w:tc>
        <w:tc>
          <w:tcPr>
            <w:tcW w:w="602" w:type="pct"/>
            <w:noWrap w:val="0"/>
            <w:vAlign w:val="center"/>
          </w:tcPr>
          <w:p w14:paraId="15550F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bidi="ar-SA"/>
              </w:rPr>
            </w:pPr>
            <w:r>
              <w:rPr>
                <w:rFonts w:hint="eastAsia" w:cs="宋体"/>
                <w:b w:val="0"/>
                <w:bCs w:val="0"/>
                <w:snapToGrid w:val="0"/>
                <w:color w:val="FF0000"/>
                <w:kern w:val="21"/>
                <w:sz w:val="20"/>
                <w:szCs w:val="20"/>
                <w:highlight w:val="none"/>
                <w:lang w:val="en-US" w:eastAsia="zh-CN"/>
              </w:rPr>
              <w:t>15.975</w:t>
            </w:r>
          </w:p>
        </w:tc>
        <w:tc>
          <w:tcPr>
            <w:tcW w:w="443" w:type="pct"/>
            <w:noWrap w:val="0"/>
            <w:vAlign w:val="center"/>
          </w:tcPr>
          <w:p w14:paraId="40D33898">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r>
      <w:tr w14:paraId="605E38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4C4FEBF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p>
        </w:tc>
        <w:tc>
          <w:tcPr>
            <w:tcW w:w="694" w:type="pct"/>
            <w:noWrap w:val="0"/>
            <w:vAlign w:val="center"/>
          </w:tcPr>
          <w:p w14:paraId="748522C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default" w:cs="宋体"/>
                <w:b w:val="0"/>
                <w:bCs/>
                <w:snapToGrid w:val="0"/>
                <w:color w:val="auto"/>
                <w:kern w:val="0"/>
                <w:sz w:val="20"/>
                <w:szCs w:val="20"/>
                <w:highlight w:val="none"/>
                <w:lang w:val="en-US" w:eastAsia="zh-CN" w:bidi="ar-SA"/>
              </w:rPr>
            </w:pPr>
            <w:r>
              <w:rPr>
                <w:rFonts w:hint="default" w:cs="宋体"/>
                <w:b w:val="0"/>
                <w:bCs/>
                <w:snapToGrid w:val="0"/>
                <w:color w:val="auto"/>
                <w:kern w:val="0"/>
                <w:sz w:val="20"/>
                <w:szCs w:val="20"/>
                <w:highlight w:val="none"/>
                <w:lang w:val="en-US" w:eastAsia="zh-CN" w:bidi="ar-SA"/>
              </w:rPr>
              <w:t>废滤料、滤芯、RO膜</w:t>
            </w:r>
          </w:p>
        </w:tc>
        <w:tc>
          <w:tcPr>
            <w:tcW w:w="602" w:type="pct"/>
            <w:noWrap w:val="0"/>
            <w:vAlign w:val="center"/>
          </w:tcPr>
          <w:p w14:paraId="4C6D8D7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cs="宋体"/>
                <w:b w:val="0"/>
                <w:bCs w:val="0"/>
                <w:snapToGrid w:val="0"/>
                <w:color w:val="auto"/>
                <w:kern w:val="21"/>
                <w:sz w:val="20"/>
                <w:szCs w:val="20"/>
                <w:highlight w:val="none"/>
                <w:lang w:val="en-US" w:eastAsia="zh-CN"/>
              </w:rPr>
              <w:t>/</w:t>
            </w:r>
          </w:p>
        </w:tc>
        <w:tc>
          <w:tcPr>
            <w:tcW w:w="390" w:type="pct"/>
            <w:noWrap w:val="0"/>
            <w:vAlign w:val="center"/>
          </w:tcPr>
          <w:p w14:paraId="7A09C715">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cs="宋体"/>
                <w:b w:val="0"/>
                <w:bCs w:val="0"/>
                <w:snapToGrid w:val="0"/>
                <w:color w:val="auto"/>
                <w:kern w:val="21"/>
                <w:sz w:val="20"/>
                <w:szCs w:val="20"/>
                <w:highlight w:val="none"/>
                <w:lang w:val="en-US" w:eastAsia="zh-CN"/>
              </w:rPr>
              <w:t>/</w:t>
            </w:r>
          </w:p>
        </w:tc>
        <w:tc>
          <w:tcPr>
            <w:tcW w:w="584" w:type="pct"/>
            <w:noWrap w:val="0"/>
            <w:vAlign w:val="center"/>
          </w:tcPr>
          <w:p w14:paraId="61E7EAC8">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cs="宋体"/>
                <w:b w:val="0"/>
                <w:bCs w:val="0"/>
                <w:snapToGrid w:val="0"/>
                <w:color w:val="auto"/>
                <w:kern w:val="21"/>
                <w:sz w:val="20"/>
                <w:szCs w:val="20"/>
                <w:highlight w:val="none"/>
                <w:lang w:val="en-US" w:eastAsia="zh-CN"/>
              </w:rPr>
              <w:t>/</w:t>
            </w:r>
          </w:p>
        </w:tc>
        <w:tc>
          <w:tcPr>
            <w:tcW w:w="621" w:type="pct"/>
            <w:noWrap w:val="0"/>
            <w:vAlign w:val="center"/>
          </w:tcPr>
          <w:p w14:paraId="2C1638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bCs w:val="0"/>
                <w:color w:val="auto"/>
                <w:sz w:val="20"/>
                <w:szCs w:val="20"/>
                <w:highlight w:val="none"/>
                <w:lang w:val="en-US" w:eastAsia="zh-CN"/>
              </w:rPr>
            </w:pPr>
            <w:r>
              <w:rPr>
                <w:rFonts w:hint="eastAsia"/>
                <w:b w:val="0"/>
                <w:bCs w:val="0"/>
                <w:color w:val="auto"/>
                <w:sz w:val="20"/>
                <w:szCs w:val="20"/>
                <w:highlight w:val="none"/>
                <w:lang w:val="en-US" w:eastAsia="zh-CN"/>
              </w:rPr>
              <w:t>0.8</w:t>
            </w:r>
          </w:p>
        </w:tc>
        <w:tc>
          <w:tcPr>
            <w:tcW w:w="533" w:type="pct"/>
            <w:noWrap w:val="0"/>
            <w:vAlign w:val="center"/>
          </w:tcPr>
          <w:p w14:paraId="7B9FFBE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cs="宋体"/>
                <w:b w:val="0"/>
                <w:bCs w:val="0"/>
                <w:snapToGrid w:val="0"/>
                <w:color w:val="auto"/>
                <w:kern w:val="21"/>
                <w:sz w:val="20"/>
                <w:szCs w:val="20"/>
                <w:highlight w:val="none"/>
                <w:lang w:val="en-US" w:eastAsia="zh-CN"/>
              </w:rPr>
              <w:t>/</w:t>
            </w:r>
          </w:p>
        </w:tc>
        <w:tc>
          <w:tcPr>
            <w:tcW w:w="602" w:type="pct"/>
            <w:noWrap w:val="0"/>
            <w:vAlign w:val="center"/>
          </w:tcPr>
          <w:p w14:paraId="6CFF7D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0"/>
                <w:szCs w:val="20"/>
                <w:highlight w:val="none"/>
                <w:lang w:val="en-US" w:eastAsia="zh-CN" w:bidi="ar-SA"/>
              </w:rPr>
            </w:pPr>
            <w:r>
              <w:rPr>
                <w:rFonts w:hint="eastAsia"/>
                <w:b w:val="0"/>
                <w:bCs w:val="0"/>
                <w:color w:val="auto"/>
                <w:sz w:val="20"/>
                <w:szCs w:val="20"/>
                <w:highlight w:val="none"/>
                <w:lang w:val="en-US" w:eastAsia="zh-CN"/>
              </w:rPr>
              <w:t>0.8</w:t>
            </w:r>
          </w:p>
        </w:tc>
        <w:tc>
          <w:tcPr>
            <w:tcW w:w="443" w:type="pct"/>
            <w:noWrap w:val="0"/>
            <w:vAlign w:val="center"/>
          </w:tcPr>
          <w:p w14:paraId="50647F6D">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auto"/>
                <w:kern w:val="2"/>
                <w:sz w:val="20"/>
                <w:szCs w:val="20"/>
                <w:highlight w:val="none"/>
                <w:lang w:val="en-US" w:eastAsia="zh-CN" w:bidi="ar-SA"/>
              </w:rPr>
            </w:pPr>
            <w:r>
              <w:rPr>
                <w:rFonts w:hint="eastAsia" w:ascii="Times New Roman" w:hAnsi="Times New Roman" w:cs="宋体"/>
                <w:b w:val="0"/>
                <w:bCs w:val="0"/>
                <w:snapToGrid w:val="0"/>
                <w:color w:val="auto"/>
                <w:kern w:val="21"/>
                <w:sz w:val="20"/>
                <w:szCs w:val="20"/>
                <w:highlight w:val="none"/>
                <w:lang w:val="en-US" w:eastAsia="zh-CN"/>
              </w:rPr>
              <w:t>/</w:t>
            </w:r>
          </w:p>
        </w:tc>
      </w:tr>
      <w:tr w14:paraId="140AA0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20C58F3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p>
        </w:tc>
        <w:tc>
          <w:tcPr>
            <w:tcW w:w="694" w:type="pct"/>
            <w:noWrap w:val="0"/>
            <w:vAlign w:val="center"/>
          </w:tcPr>
          <w:p w14:paraId="55E21A9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default"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w:t>
            </w:r>
          </w:p>
        </w:tc>
        <w:tc>
          <w:tcPr>
            <w:tcW w:w="602" w:type="pct"/>
            <w:noWrap w:val="0"/>
            <w:vAlign w:val="center"/>
          </w:tcPr>
          <w:p w14:paraId="0AC4DFB9">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390" w:type="pct"/>
            <w:noWrap w:val="0"/>
            <w:vAlign w:val="center"/>
          </w:tcPr>
          <w:p w14:paraId="6611CCCD">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584" w:type="pct"/>
            <w:noWrap w:val="0"/>
            <w:vAlign w:val="center"/>
          </w:tcPr>
          <w:p w14:paraId="0C80DE81">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621" w:type="pct"/>
            <w:noWrap w:val="0"/>
            <w:vAlign w:val="center"/>
          </w:tcPr>
          <w:p w14:paraId="3C7912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bCs w:val="0"/>
                <w:color w:val="auto"/>
                <w:sz w:val="20"/>
                <w:szCs w:val="20"/>
                <w:highlight w:val="none"/>
                <w:lang w:val="en-US" w:eastAsia="zh-CN"/>
              </w:rPr>
            </w:pPr>
            <w:r>
              <w:rPr>
                <w:rFonts w:hint="eastAsia"/>
                <w:b w:val="0"/>
                <w:bCs w:val="0"/>
                <w:color w:val="auto"/>
                <w:sz w:val="20"/>
                <w:szCs w:val="20"/>
                <w:highlight w:val="none"/>
                <w:lang w:val="en-US" w:eastAsia="zh-CN"/>
              </w:rPr>
              <w:t>/</w:t>
            </w:r>
          </w:p>
        </w:tc>
        <w:tc>
          <w:tcPr>
            <w:tcW w:w="533" w:type="pct"/>
            <w:noWrap w:val="0"/>
            <w:vAlign w:val="center"/>
          </w:tcPr>
          <w:p w14:paraId="553C1791">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602" w:type="pct"/>
            <w:noWrap w:val="0"/>
            <w:vAlign w:val="center"/>
          </w:tcPr>
          <w:p w14:paraId="1A1702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0"/>
                <w:szCs w:val="20"/>
                <w:highlight w:val="none"/>
                <w:lang w:val="en-US" w:eastAsia="zh-CN" w:bidi="ar-SA"/>
              </w:rPr>
            </w:pPr>
            <w:r>
              <w:rPr>
                <w:rFonts w:hint="eastAsia"/>
                <w:b w:val="0"/>
                <w:bCs w:val="0"/>
                <w:color w:val="auto"/>
                <w:sz w:val="20"/>
                <w:szCs w:val="20"/>
                <w:highlight w:val="none"/>
                <w:lang w:val="en-US" w:eastAsia="zh-CN"/>
              </w:rPr>
              <w:t>/</w:t>
            </w:r>
          </w:p>
        </w:tc>
        <w:tc>
          <w:tcPr>
            <w:tcW w:w="443" w:type="pct"/>
            <w:noWrap w:val="0"/>
            <w:vAlign w:val="center"/>
          </w:tcPr>
          <w:p w14:paraId="20BC8A12">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val="0"/>
                <w:color w:val="auto"/>
                <w:kern w:val="2"/>
                <w:sz w:val="20"/>
                <w:szCs w:val="20"/>
                <w:highlight w:val="none"/>
                <w:lang w:val="en-US" w:eastAsia="zh-CN" w:bidi="ar-SA"/>
              </w:rPr>
            </w:pPr>
            <w:r>
              <w:rPr>
                <w:rFonts w:hint="eastAsia" w:ascii="Times New Roman" w:cs="宋体"/>
                <w:b w:val="0"/>
                <w:bCs w:val="0"/>
                <w:snapToGrid w:val="0"/>
                <w:color w:val="auto"/>
                <w:kern w:val="21"/>
                <w:sz w:val="20"/>
                <w:szCs w:val="20"/>
                <w:highlight w:val="none"/>
                <w:lang w:val="en-US" w:eastAsia="zh-CN"/>
              </w:rPr>
              <w:t>/</w:t>
            </w:r>
          </w:p>
        </w:tc>
      </w:tr>
      <w:tr w14:paraId="2B219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restart"/>
            <w:noWrap w:val="0"/>
            <w:vAlign w:val="center"/>
          </w:tcPr>
          <w:p w14:paraId="52B5F16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危险废物</w:t>
            </w:r>
          </w:p>
        </w:tc>
        <w:tc>
          <w:tcPr>
            <w:tcW w:w="694" w:type="pct"/>
            <w:noWrap w:val="0"/>
            <w:vAlign w:val="center"/>
          </w:tcPr>
          <w:p w14:paraId="61D385E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检验废液</w:t>
            </w:r>
          </w:p>
        </w:tc>
        <w:tc>
          <w:tcPr>
            <w:tcW w:w="602" w:type="pct"/>
            <w:noWrap w:val="0"/>
            <w:vAlign w:val="center"/>
          </w:tcPr>
          <w:p w14:paraId="1F05D13F">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390" w:type="pct"/>
            <w:noWrap w:val="0"/>
            <w:vAlign w:val="center"/>
          </w:tcPr>
          <w:p w14:paraId="5B8418AA">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584" w:type="pct"/>
            <w:noWrap w:val="0"/>
            <w:vAlign w:val="center"/>
          </w:tcPr>
          <w:p w14:paraId="77F44796">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21" w:type="pct"/>
            <w:noWrap w:val="0"/>
            <w:vAlign w:val="center"/>
          </w:tcPr>
          <w:p w14:paraId="2D4D49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0.04</w:t>
            </w:r>
          </w:p>
        </w:tc>
        <w:tc>
          <w:tcPr>
            <w:tcW w:w="533" w:type="pct"/>
            <w:noWrap w:val="0"/>
            <w:vAlign w:val="center"/>
          </w:tcPr>
          <w:p w14:paraId="4A9E4F71">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02" w:type="pct"/>
            <w:noWrap w:val="0"/>
            <w:vAlign w:val="center"/>
          </w:tcPr>
          <w:p w14:paraId="1DE6E6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0.04</w:t>
            </w:r>
          </w:p>
        </w:tc>
        <w:tc>
          <w:tcPr>
            <w:tcW w:w="443" w:type="pct"/>
            <w:noWrap w:val="0"/>
            <w:vAlign w:val="center"/>
          </w:tcPr>
          <w:p w14:paraId="65272CA7">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r>
      <w:tr w14:paraId="431398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0A2F86D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p>
        </w:tc>
        <w:tc>
          <w:tcPr>
            <w:tcW w:w="694" w:type="pct"/>
            <w:noWrap w:val="0"/>
            <w:vAlign w:val="center"/>
          </w:tcPr>
          <w:p w14:paraId="518E68D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废机油</w:t>
            </w:r>
          </w:p>
        </w:tc>
        <w:tc>
          <w:tcPr>
            <w:tcW w:w="602" w:type="pct"/>
            <w:noWrap w:val="0"/>
            <w:vAlign w:val="center"/>
          </w:tcPr>
          <w:p w14:paraId="31364192">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390" w:type="pct"/>
            <w:noWrap w:val="0"/>
            <w:vAlign w:val="center"/>
          </w:tcPr>
          <w:p w14:paraId="4B5C6AF9">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584" w:type="pct"/>
            <w:noWrap w:val="0"/>
            <w:vAlign w:val="center"/>
          </w:tcPr>
          <w:p w14:paraId="1C782BB3">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621" w:type="pct"/>
            <w:noWrap w:val="0"/>
            <w:vAlign w:val="center"/>
          </w:tcPr>
          <w:p w14:paraId="032262A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FF0000"/>
                <w:kern w:val="2"/>
                <w:sz w:val="21"/>
                <w:szCs w:val="21"/>
                <w:lang w:val="en-US" w:eastAsia="zh-CN" w:bidi="ar-SA"/>
              </w:rPr>
            </w:pPr>
            <w:r>
              <w:rPr>
                <w:rFonts w:hint="eastAsia" w:cs="Times New Roman"/>
                <w:color w:val="FF0000"/>
                <w:kern w:val="2"/>
                <w:sz w:val="21"/>
                <w:szCs w:val="21"/>
                <w:lang w:val="en-US" w:eastAsia="zh-CN" w:bidi="ar-SA"/>
              </w:rPr>
              <w:t>0.03</w:t>
            </w:r>
          </w:p>
        </w:tc>
        <w:tc>
          <w:tcPr>
            <w:tcW w:w="533" w:type="pct"/>
            <w:noWrap w:val="0"/>
            <w:vAlign w:val="center"/>
          </w:tcPr>
          <w:p w14:paraId="0619CDE3">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rPr>
            </w:pPr>
            <w:r>
              <w:rPr>
                <w:rFonts w:hint="eastAsia" w:ascii="Times New Roman" w:cs="宋体"/>
                <w:b w:val="0"/>
                <w:bCs w:val="0"/>
                <w:snapToGrid w:val="0"/>
                <w:color w:val="FF0000"/>
                <w:kern w:val="21"/>
                <w:sz w:val="20"/>
                <w:szCs w:val="20"/>
                <w:highlight w:val="none"/>
                <w:lang w:val="en-US" w:eastAsia="zh-CN"/>
              </w:rPr>
              <w:t>/</w:t>
            </w:r>
          </w:p>
        </w:tc>
        <w:tc>
          <w:tcPr>
            <w:tcW w:w="602" w:type="pct"/>
            <w:noWrap w:val="0"/>
            <w:vAlign w:val="center"/>
          </w:tcPr>
          <w:p w14:paraId="04CF83A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FF0000"/>
                <w:kern w:val="2"/>
                <w:sz w:val="21"/>
                <w:szCs w:val="21"/>
                <w:lang w:val="en-US" w:eastAsia="zh-CN" w:bidi="ar-SA"/>
              </w:rPr>
            </w:pPr>
            <w:r>
              <w:rPr>
                <w:rFonts w:hint="eastAsia" w:cs="Times New Roman"/>
                <w:color w:val="FF0000"/>
                <w:kern w:val="2"/>
                <w:sz w:val="21"/>
                <w:szCs w:val="21"/>
                <w:lang w:val="en-US" w:eastAsia="zh-CN" w:bidi="ar-SA"/>
              </w:rPr>
              <w:t>0.03</w:t>
            </w:r>
          </w:p>
        </w:tc>
        <w:tc>
          <w:tcPr>
            <w:tcW w:w="443" w:type="pct"/>
            <w:noWrap w:val="0"/>
            <w:vAlign w:val="center"/>
          </w:tcPr>
          <w:p w14:paraId="752BFB0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cs="宋体"/>
                <w:b w:val="0"/>
                <w:bCs w:val="0"/>
                <w:snapToGrid w:val="0"/>
                <w:color w:val="auto"/>
                <w:kern w:val="21"/>
                <w:sz w:val="20"/>
                <w:szCs w:val="20"/>
                <w:highlight w:val="none"/>
                <w:lang w:val="en-US" w:eastAsia="zh-CN"/>
              </w:rPr>
              <w:t>/</w:t>
            </w:r>
          </w:p>
        </w:tc>
      </w:tr>
      <w:tr w14:paraId="680C55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6E119C4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p>
        </w:tc>
        <w:tc>
          <w:tcPr>
            <w:tcW w:w="694" w:type="pct"/>
            <w:noWrap w:val="0"/>
            <w:vAlign w:val="center"/>
          </w:tcPr>
          <w:p w14:paraId="4666CAB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rPr>
                <w:rFonts w:hint="eastAsia" w:cs="宋体"/>
                <w:b w:val="0"/>
                <w:bCs/>
                <w:snapToGrid w:val="0"/>
                <w:color w:val="auto"/>
                <w:kern w:val="0"/>
                <w:sz w:val="20"/>
                <w:szCs w:val="20"/>
                <w:highlight w:val="none"/>
                <w:lang w:val="en-US" w:eastAsia="zh-CN" w:bidi="ar-SA"/>
              </w:rPr>
            </w:pPr>
            <w:r>
              <w:rPr>
                <w:rFonts w:hint="eastAsia" w:cs="宋体"/>
                <w:b w:val="0"/>
                <w:bCs/>
                <w:snapToGrid w:val="0"/>
                <w:color w:val="auto"/>
                <w:kern w:val="0"/>
                <w:sz w:val="20"/>
                <w:szCs w:val="20"/>
                <w:highlight w:val="none"/>
                <w:lang w:val="en-US" w:eastAsia="zh-CN" w:bidi="ar-SA"/>
              </w:rPr>
              <w:t>废油桶</w:t>
            </w:r>
          </w:p>
        </w:tc>
        <w:tc>
          <w:tcPr>
            <w:tcW w:w="602" w:type="pct"/>
            <w:noWrap w:val="0"/>
            <w:vAlign w:val="center"/>
          </w:tcPr>
          <w:p w14:paraId="75A0DB1F">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val="0"/>
                <w:color w:val="auto"/>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390" w:type="pct"/>
            <w:noWrap w:val="0"/>
            <w:vAlign w:val="center"/>
          </w:tcPr>
          <w:p w14:paraId="1C0DE235">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584" w:type="pct"/>
            <w:noWrap w:val="0"/>
            <w:vAlign w:val="center"/>
          </w:tcPr>
          <w:p w14:paraId="3EA393D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21" w:type="pct"/>
            <w:noWrap w:val="0"/>
            <w:vAlign w:val="center"/>
          </w:tcPr>
          <w:p w14:paraId="0C9ED5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FF0000"/>
                <w:kern w:val="2"/>
                <w:sz w:val="21"/>
                <w:szCs w:val="21"/>
                <w:lang w:val="en-US" w:eastAsia="zh-CN" w:bidi="ar-SA"/>
              </w:rPr>
            </w:pPr>
            <w:r>
              <w:rPr>
                <w:rFonts w:hint="eastAsia" w:cs="Times New Roman"/>
                <w:color w:val="FF0000"/>
                <w:kern w:val="2"/>
                <w:sz w:val="21"/>
                <w:szCs w:val="21"/>
                <w:lang w:val="en-US" w:eastAsia="zh-CN" w:bidi="ar-SA"/>
              </w:rPr>
              <w:t>0.01</w:t>
            </w:r>
          </w:p>
        </w:tc>
        <w:tc>
          <w:tcPr>
            <w:tcW w:w="533" w:type="pct"/>
            <w:noWrap w:val="0"/>
            <w:vAlign w:val="center"/>
          </w:tcPr>
          <w:p w14:paraId="1494A809">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FF0000"/>
                <w:kern w:val="21"/>
                <w:sz w:val="20"/>
                <w:szCs w:val="20"/>
                <w:highlight w:val="none"/>
                <w:lang w:val="en-US" w:eastAsia="zh-CN"/>
              </w:rPr>
            </w:pPr>
            <w:r>
              <w:rPr>
                <w:rFonts w:hint="eastAsia" w:ascii="Times New Roman" w:hAnsi="Times New Roman" w:eastAsia="宋体" w:cs="宋体"/>
                <w:b w:val="0"/>
                <w:bCs w:val="0"/>
                <w:snapToGrid w:val="0"/>
                <w:color w:val="FF0000"/>
                <w:kern w:val="21"/>
                <w:sz w:val="20"/>
                <w:szCs w:val="20"/>
                <w:highlight w:val="none"/>
                <w:lang w:val="en-US" w:eastAsia="zh-CN"/>
              </w:rPr>
              <w:t>/</w:t>
            </w:r>
          </w:p>
        </w:tc>
        <w:tc>
          <w:tcPr>
            <w:tcW w:w="602" w:type="pct"/>
            <w:noWrap w:val="0"/>
            <w:vAlign w:val="center"/>
          </w:tcPr>
          <w:p w14:paraId="2F0835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FF0000"/>
                <w:kern w:val="2"/>
                <w:sz w:val="21"/>
                <w:szCs w:val="21"/>
                <w:lang w:val="en-US" w:eastAsia="zh-CN" w:bidi="ar-SA"/>
              </w:rPr>
            </w:pPr>
            <w:r>
              <w:rPr>
                <w:rFonts w:hint="eastAsia" w:cs="Times New Roman"/>
                <w:color w:val="FF0000"/>
                <w:kern w:val="2"/>
                <w:sz w:val="21"/>
                <w:szCs w:val="21"/>
                <w:lang w:val="en-US" w:eastAsia="zh-CN" w:bidi="ar-SA"/>
              </w:rPr>
              <w:t>0.01</w:t>
            </w:r>
          </w:p>
        </w:tc>
        <w:tc>
          <w:tcPr>
            <w:tcW w:w="443" w:type="pct"/>
            <w:noWrap w:val="0"/>
            <w:vAlign w:val="center"/>
          </w:tcPr>
          <w:p w14:paraId="523C62A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r>
      <w:tr w14:paraId="692E5F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0781F6F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p>
        </w:tc>
        <w:tc>
          <w:tcPr>
            <w:tcW w:w="694" w:type="pct"/>
            <w:noWrap w:val="0"/>
            <w:vAlign w:val="center"/>
          </w:tcPr>
          <w:p w14:paraId="41F2C81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02" w:type="pct"/>
            <w:noWrap w:val="0"/>
            <w:vAlign w:val="center"/>
          </w:tcPr>
          <w:p w14:paraId="2AF30BDC">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390" w:type="pct"/>
            <w:noWrap w:val="0"/>
            <w:vAlign w:val="center"/>
          </w:tcPr>
          <w:p w14:paraId="655044E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584" w:type="pct"/>
            <w:noWrap w:val="0"/>
            <w:vAlign w:val="center"/>
          </w:tcPr>
          <w:p w14:paraId="2FCAD0B9">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621" w:type="pct"/>
            <w:noWrap w:val="0"/>
            <w:vAlign w:val="center"/>
          </w:tcPr>
          <w:p w14:paraId="25CF265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33" w:type="pct"/>
            <w:noWrap w:val="0"/>
            <w:vAlign w:val="center"/>
          </w:tcPr>
          <w:p w14:paraId="760FC80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cs="宋体"/>
                <w:b w:val="0"/>
                <w:bCs w:val="0"/>
                <w:snapToGrid w:val="0"/>
                <w:color w:val="auto"/>
                <w:kern w:val="21"/>
                <w:sz w:val="20"/>
                <w:szCs w:val="20"/>
                <w:highlight w:val="none"/>
                <w:lang w:val="en-US" w:eastAsia="zh-CN"/>
              </w:rPr>
              <w:t>/</w:t>
            </w:r>
          </w:p>
        </w:tc>
        <w:tc>
          <w:tcPr>
            <w:tcW w:w="602" w:type="pct"/>
            <w:noWrap w:val="0"/>
            <w:vAlign w:val="center"/>
          </w:tcPr>
          <w:p w14:paraId="5AD644B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43" w:type="pct"/>
            <w:noWrap w:val="0"/>
            <w:vAlign w:val="center"/>
          </w:tcPr>
          <w:p w14:paraId="30DA540B">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cs="宋体"/>
                <w:b w:val="0"/>
                <w:bCs w:val="0"/>
                <w:snapToGrid w:val="0"/>
                <w:color w:val="auto"/>
                <w:kern w:val="21"/>
                <w:sz w:val="20"/>
                <w:szCs w:val="20"/>
                <w:highlight w:val="none"/>
                <w:lang w:val="en-US" w:eastAsia="zh-CN"/>
              </w:rPr>
              <w:t>/</w:t>
            </w:r>
          </w:p>
        </w:tc>
      </w:tr>
      <w:tr w14:paraId="24F71F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7" w:type="pct"/>
            <w:vMerge w:val="continue"/>
            <w:noWrap w:val="0"/>
            <w:vAlign w:val="center"/>
          </w:tcPr>
          <w:p w14:paraId="1EFAE749">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p>
        </w:tc>
        <w:tc>
          <w:tcPr>
            <w:tcW w:w="694" w:type="pct"/>
            <w:noWrap w:val="0"/>
            <w:vAlign w:val="center"/>
          </w:tcPr>
          <w:p w14:paraId="7B9115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02" w:type="pct"/>
            <w:noWrap w:val="0"/>
            <w:vAlign w:val="center"/>
          </w:tcPr>
          <w:p w14:paraId="1BEACC8E">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390" w:type="pct"/>
            <w:noWrap w:val="0"/>
            <w:vAlign w:val="center"/>
          </w:tcPr>
          <w:p w14:paraId="609442D0">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宋体"/>
                <w:b w:val="0"/>
                <w:bCs w:val="0"/>
                <w:snapToGrid w:val="0"/>
                <w:color w:val="auto"/>
                <w:kern w:val="21"/>
                <w:sz w:val="20"/>
                <w:szCs w:val="20"/>
                <w:highlight w:val="none"/>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584" w:type="pct"/>
            <w:noWrap w:val="0"/>
            <w:vAlign w:val="center"/>
          </w:tcPr>
          <w:p w14:paraId="4E605BB1">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宋体"/>
                <w:b w:val="0"/>
                <w:bCs w:val="0"/>
                <w:snapToGrid w:val="0"/>
                <w:color w:val="auto"/>
                <w:kern w:val="21"/>
                <w:sz w:val="20"/>
                <w:szCs w:val="20"/>
                <w:highlight w:val="none"/>
                <w:lang w:val="en-US" w:eastAsia="zh-CN"/>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21" w:type="pct"/>
            <w:noWrap w:val="0"/>
            <w:vAlign w:val="center"/>
          </w:tcPr>
          <w:p w14:paraId="15622E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533" w:type="pct"/>
            <w:noWrap w:val="0"/>
            <w:vAlign w:val="center"/>
          </w:tcPr>
          <w:p w14:paraId="0827A04F">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ascii="Times New Roman" w:hAnsi="Times New Roman" w:eastAsia="宋体" w:cs="宋体"/>
                <w:b w:val="0"/>
                <w:bCs w:val="0"/>
                <w:snapToGrid w:val="0"/>
                <w:color w:val="auto"/>
                <w:kern w:val="21"/>
                <w:sz w:val="20"/>
                <w:szCs w:val="20"/>
                <w:highlight w:val="none"/>
              </w:rPr>
            </w:pPr>
            <w:r>
              <w:rPr>
                <w:rFonts w:hint="eastAsia" w:ascii="Times New Roman" w:hAnsi="Times New Roman" w:eastAsia="宋体" w:cs="宋体"/>
                <w:b w:val="0"/>
                <w:bCs w:val="0"/>
                <w:snapToGrid w:val="0"/>
                <w:color w:val="auto"/>
                <w:kern w:val="21"/>
                <w:sz w:val="20"/>
                <w:szCs w:val="20"/>
                <w:highlight w:val="none"/>
                <w:lang w:val="en-US" w:eastAsia="zh-CN"/>
              </w:rPr>
              <w:t>/</w:t>
            </w:r>
          </w:p>
        </w:tc>
        <w:tc>
          <w:tcPr>
            <w:tcW w:w="602" w:type="pct"/>
            <w:noWrap w:val="0"/>
            <w:vAlign w:val="center"/>
          </w:tcPr>
          <w:p w14:paraId="287BB9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443" w:type="pct"/>
            <w:noWrap w:val="0"/>
            <w:vAlign w:val="center"/>
          </w:tcPr>
          <w:p w14:paraId="60DF1F14">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宋体"/>
                <w:b w:val="0"/>
                <w:bCs w:val="0"/>
                <w:snapToGrid w:val="0"/>
                <w:color w:val="auto"/>
                <w:kern w:val="21"/>
                <w:sz w:val="20"/>
                <w:szCs w:val="20"/>
                <w:highlight w:val="none"/>
                <w:lang w:val="en-US" w:eastAsia="zh-CN"/>
              </w:rPr>
              <w:t>/</w:t>
            </w:r>
          </w:p>
        </w:tc>
      </w:tr>
    </w:tbl>
    <w:p w14:paraId="3D816B14">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left"/>
        <w:textAlignment w:val="auto"/>
        <w:rPr>
          <w:rFonts w:hint="eastAsia" w:ascii="Times New Roman" w:hAnsi="Times New Roman" w:eastAsia="宋体"/>
          <w:snapToGrid w:val="0"/>
          <w:color w:val="auto"/>
          <w:spacing w:val="-6"/>
          <w:kern w:val="21"/>
          <w:sz w:val="20"/>
          <w:szCs w:val="16"/>
          <w:highlight w:val="none"/>
        </w:rPr>
      </w:pPr>
      <w:r>
        <w:rPr>
          <w:rFonts w:ascii="Times New Roman" w:hAnsi="Times New Roman" w:eastAsia="宋体"/>
          <w:snapToGrid w:val="0"/>
          <w:color w:val="auto"/>
          <w:kern w:val="21"/>
          <w:sz w:val="20"/>
          <w:szCs w:val="16"/>
          <w:highlight w:val="none"/>
        </w:rPr>
        <w:t>注：</w:t>
      </w:r>
      <w:r>
        <w:rPr>
          <w:rFonts w:ascii="Times New Roman" w:hAnsi="Times New Roman" w:eastAsia="宋体"/>
          <w:snapToGrid w:val="0"/>
          <w:color w:val="auto"/>
          <w:spacing w:val="-16"/>
          <w:kern w:val="21"/>
          <w:sz w:val="20"/>
          <w:szCs w:val="16"/>
          <w:highlight w:val="none"/>
        </w:rPr>
        <w:fldChar w:fldCharType="begin"/>
      </w:r>
      <w:r>
        <w:rPr>
          <w:rFonts w:ascii="Times New Roman" w:hAnsi="Times New Roman" w:eastAsia="宋体"/>
          <w:snapToGrid w:val="0"/>
          <w:color w:val="auto"/>
          <w:spacing w:val="-16"/>
          <w:kern w:val="21"/>
          <w:sz w:val="20"/>
          <w:szCs w:val="16"/>
          <w:highlight w:val="none"/>
        </w:rPr>
        <w:instrText xml:space="preserve"> = 6 \* GB3 \* MERGEFORMAT </w:instrText>
      </w:r>
      <w:r>
        <w:rPr>
          <w:rFonts w:ascii="Times New Roman" w:hAnsi="Times New Roman" w:eastAsia="宋体"/>
          <w:snapToGrid w:val="0"/>
          <w:color w:val="auto"/>
          <w:spacing w:val="-16"/>
          <w:kern w:val="21"/>
          <w:sz w:val="20"/>
          <w:szCs w:val="16"/>
          <w:highlight w:val="none"/>
        </w:rPr>
        <w:fldChar w:fldCharType="separate"/>
      </w:r>
      <w:r>
        <w:rPr>
          <w:rFonts w:hint="eastAsia" w:ascii="Times New Roman" w:hAnsi="Times New Roman" w:eastAsia="宋体"/>
          <w:color w:val="auto"/>
          <w:sz w:val="20"/>
          <w:szCs w:val="16"/>
          <w:highlight w:val="none"/>
        </w:rPr>
        <w:t>⑥</w:t>
      </w:r>
      <w:r>
        <w:rPr>
          <w:rFonts w:ascii="Times New Roman" w:hAnsi="Times New Roman" w:eastAsia="宋体"/>
          <w:snapToGrid w:val="0"/>
          <w:color w:val="auto"/>
          <w:spacing w:val="-16"/>
          <w:kern w:val="21"/>
          <w:sz w:val="20"/>
          <w:szCs w:val="16"/>
          <w:highlight w:val="none"/>
        </w:rPr>
        <w:fldChar w:fldCharType="end"/>
      </w:r>
      <w:r>
        <w:rPr>
          <w:rFonts w:ascii="Times New Roman" w:hAnsi="Times New Roman" w:eastAsia="宋体"/>
          <w:snapToGrid w:val="0"/>
          <w:color w:val="auto"/>
          <w:spacing w:val="-16"/>
          <w:kern w:val="21"/>
          <w:sz w:val="20"/>
          <w:szCs w:val="16"/>
          <w:highlight w:val="none"/>
        </w:rPr>
        <w:t>=</w:t>
      </w:r>
      <w:r>
        <w:rPr>
          <w:rFonts w:ascii="Times New Roman" w:hAnsi="Times New Roman" w:eastAsia="宋体"/>
          <w:snapToGrid w:val="0"/>
          <w:color w:val="auto"/>
          <w:spacing w:val="-6"/>
          <w:kern w:val="21"/>
          <w:sz w:val="20"/>
          <w:szCs w:val="16"/>
          <w:highlight w:val="none"/>
        </w:rPr>
        <w:fldChar w:fldCharType="begin"/>
      </w:r>
      <w:r>
        <w:rPr>
          <w:rFonts w:ascii="Times New Roman" w:hAnsi="Times New Roman" w:eastAsia="宋体"/>
          <w:snapToGrid w:val="0"/>
          <w:color w:val="auto"/>
          <w:spacing w:val="-6"/>
          <w:kern w:val="21"/>
          <w:sz w:val="20"/>
          <w:szCs w:val="16"/>
          <w:highlight w:val="none"/>
        </w:rPr>
        <w:instrText xml:space="preserve"> = 1 \* GB3 \* MERGEFORMAT </w:instrText>
      </w:r>
      <w:r>
        <w:rPr>
          <w:rFonts w:ascii="Times New Roman" w:hAnsi="Times New Roman" w:eastAsia="宋体"/>
          <w:snapToGrid w:val="0"/>
          <w:color w:val="auto"/>
          <w:spacing w:val="-6"/>
          <w:kern w:val="21"/>
          <w:sz w:val="20"/>
          <w:szCs w:val="16"/>
          <w:highlight w:val="none"/>
        </w:rPr>
        <w:fldChar w:fldCharType="separate"/>
      </w:r>
      <w:r>
        <w:rPr>
          <w:rFonts w:hint="eastAsia" w:ascii="Times New Roman" w:hAnsi="Times New Roman" w:eastAsia="宋体"/>
          <w:color w:val="auto"/>
          <w:sz w:val="20"/>
          <w:szCs w:val="16"/>
          <w:highlight w:val="none"/>
        </w:rPr>
        <w:t>①</w:t>
      </w:r>
      <w:r>
        <w:rPr>
          <w:rFonts w:ascii="Times New Roman" w:hAnsi="Times New Roman" w:eastAsia="宋体"/>
          <w:snapToGrid w:val="0"/>
          <w:color w:val="auto"/>
          <w:spacing w:val="-6"/>
          <w:kern w:val="21"/>
          <w:sz w:val="20"/>
          <w:szCs w:val="16"/>
          <w:highlight w:val="none"/>
        </w:rPr>
        <w:fldChar w:fldCharType="end"/>
      </w:r>
      <w:r>
        <w:rPr>
          <w:rFonts w:ascii="Times New Roman" w:hAnsi="Times New Roman" w:eastAsia="宋体"/>
          <w:snapToGrid w:val="0"/>
          <w:color w:val="auto"/>
          <w:spacing w:val="-6"/>
          <w:kern w:val="21"/>
          <w:sz w:val="20"/>
          <w:szCs w:val="16"/>
          <w:highlight w:val="none"/>
        </w:rPr>
        <w:t>+</w:t>
      </w:r>
      <w:r>
        <w:rPr>
          <w:rFonts w:ascii="Times New Roman" w:hAnsi="Times New Roman" w:eastAsia="宋体"/>
          <w:snapToGrid w:val="0"/>
          <w:color w:val="auto"/>
          <w:spacing w:val="-6"/>
          <w:kern w:val="21"/>
          <w:sz w:val="20"/>
          <w:szCs w:val="16"/>
          <w:highlight w:val="none"/>
        </w:rPr>
        <w:fldChar w:fldCharType="begin"/>
      </w:r>
      <w:r>
        <w:rPr>
          <w:rFonts w:ascii="Times New Roman" w:hAnsi="Times New Roman" w:eastAsia="宋体"/>
          <w:snapToGrid w:val="0"/>
          <w:color w:val="auto"/>
          <w:spacing w:val="-6"/>
          <w:kern w:val="21"/>
          <w:sz w:val="20"/>
          <w:szCs w:val="16"/>
          <w:highlight w:val="none"/>
        </w:rPr>
        <w:instrText xml:space="preserve"> = 3 \* GB3 \* MERGEFORMAT </w:instrText>
      </w:r>
      <w:r>
        <w:rPr>
          <w:rFonts w:ascii="Times New Roman" w:hAnsi="Times New Roman" w:eastAsia="宋体"/>
          <w:snapToGrid w:val="0"/>
          <w:color w:val="auto"/>
          <w:spacing w:val="-6"/>
          <w:kern w:val="21"/>
          <w:sz w:val="20"/>
          <w:szCs w:val="16"/>
          <w:highlight w:val="none"/>
        </w:rPr>
        <w:fldChar w:fldCharType="separate"/>
      </w:r>
      <w:r>
        <w:rPr>
          <w:rFonts w:hint="eastAsia" w:ascii="Times New Roman" w:hAnsi="Times New Roman" w:eastAsia="宋体"/>
          <w:color w:val="auto"/>
          <w:sz w:val="20"/>
          <w:szCs w:val="16"/>
          <w:highlight w:val="none"/>
        </w:rPr>
        <w:t>③</w:t>
      </w:r>
      <w:r>
        <w:rPr>
          <w:rFonts w:ascii="Times New Roman" w:hAnsi="Times New Roman" w:eastAsia="宋体"/>
          <w:snapToGrid w:val="0"/>
          <w:color w:val="auto"/>
          <w:spacing w:val="-6"/>
          <w:kern w:val="21"/>
          <w:sz w:val="20"/>
          <w:szCs w:val="16"/>
          <w:highlight w:val="none"/>
        </w:rPr>
        <w:fldChar w:fldCharType="end"/>
      </w:r>
      <w:r>
        <w:rPr>
          <w:rFonts w:ascii="Times New Roman" w:hAnsi="Times New Roman" w:eastAsia="宋体"/>
          <w:snapToGrid w:val="0"/>
          <w:color w:val="auto"/>
          <w:spacing w:val="-6"/>
          <w:kern w:val="21"/>
          <w:sz w:val="20"/>
          <w:szCs w:val="16"/>
          <w:highlight w:val="none"/>
        </w:rPr>
        <w:t>+</w:t>
      </w:r>
      <w:r>
        <w:rPr>
          <w:rFonts w:ascii="Times New Roman" w:hAnsi="Times New Roman" w:eastAsia="宋体"/>
          <w:snapToGrid w:val="0"/>
          <w:color w:val="auto"/>
          <w:spacing w:val="-6"/>
          <w:kern w:val="21"/>
          <w:sz w:val="20"/>
          <w:szCs w:val="16"/>
          <w:highlight w:val="none"/>
        </w:rPr>
        <w:fldChar w:fldCharType="begin"/>
      </w:r>
      <w:r>
        <w:rPr>
          <w:rFonts w:ascii="Times New Roman" w:hAnsi="Times New Roman" w:eastAsia="宋体"/>
          <w:snapToGrid w:val="0"/>
          <w:color w:val="auto"/>
          <w:spacing w:val="-6"/>
          <w:kern w:val="21"/>
          <w:sz w:val="20"/>
          <w:szCs w:val="16"/>
          <w:highlight w:val="none"/>
        </w:rPr>
        <w:instrText xml:space="preserve"> = 4 \* GB3 \* MERGEFORMAT </w:instrText>
      </w:r>
      <w:r>
        <w:rPr>
          <w:rFonts w:ascii="Times New Roman" w:hAnsi="Times New Roman" w:eastAsia="宋体"/>
          <w:snapToGrid w:val="0"/>
          <w:color w:val="auto"/>
          <w:spacing w:val="-6"/>
          <w:kern w:val="21"/>
          <w:sz w:val="20"/>
          <w:szCs w:val="16"/>
          <w:highlight w:val="none"/>
        </w:rPr>
        <w:fldChar w:fldCharType="separate"/>
      </w:r>
      <w:r>
        <w:rPr>
          <w:rFonts w:hint="eastAsia" w:ascii="Times New Roman" w:hAnsi="Times New Roman" w:eastAsia="宋体"/>
          <w:color w:val="auto"/>
          <w:sz w:val="20"/>
          <w:szCs w:val="16"/>
          <w:highlight w:val="none"/>
        </w:rPr>
        <w:t>④</w:t>
      </w:r>
      <w:r>
        <w:rPr>
          <w:rFonts w:ascii="Times New Roman" w:hAnsi="Times New Roman" w:eastAsia="宋体"/>
          <w:snapToGrid w:val="0"/>
          <w:color w:val="auto"/>
          <w:spacing w:val="-6"/>
          <w:kern w:val="21"/>
          <w:sz w:val="20"/>
          <w:szCs w:val="16"/>
          <w:highlight w:val="none"/>
        </w:rPr>
        <w:fldChar w:fldCharType="end"/>
      </w:r>
      <w:r>
        <w:rPr>
          <w:rFonts w:ascii="Times New Roman" w:hAnsi="Times New Roman" w:eastAsia="宋体"/>
          <w:snapToGrid w:val="0"/>
          <w:color w:val="auto"/>
          <w:spacing w:val="-6"/>
          <w:kern w:val="21"/>
          <w:sz w:val="20"/>
          <w:szCs w:val="16"/>
          <w:highlight w:val="none"/>
        </w:rPr>
        <w:t>-</w:t>
      </w:r>
      <w:r>
        <w:rPr>
          <w:rFonts w:ascii="Times New Roman" w:hAnsi="Times New Roman" w:eastAsia="宋体"/>
          <w:snapToGrid w:val="0"/>
          <w:color w:val="auto"/>
          <w:spacing w:val="-16"/>
          <w:kern w:val="21"/>
          <w:sz w:val="20"/>
          <w:szCs w:val="16"/>
          <w:highlight w:val="none"/>
        </w:rPr>
        <w:fldChar w:fldCharType="begin"/>
      </w:r>
      <w:r>
        <w:rPr>
          <w:rFonts w:ascii="Times New Roman" w:hAnsi="Times New Roman" w:eastAsia="宋体"/>
          <w:snapToGrid w:val="0"/>
          <w:color w:val="auto"/>
          <w:spacing w:val="-16"/>
          <w:kern w:val="21"/>
          <w:sz w:val="20"/>
          <w:szCs w:val="16"/>
          <w:highlight w:val="none"/>
        </w:rPr>
        <w:instrText xml:space="preserve"> = 5 \* GB3 \* MERGEFORMAT </w:instrText>
      </w:r>
      <w:r>
        <w:rPr>
          <w:rFonts w:ascii="Times New Roman" w:hAnsi="Times New Roman" w:eastAsia="宋体"/>
          <w:snapToGrid w:val="0"/>
          <w:color w:val="auto"/>
          <w:spacing w:val="-16"/>
          <w:kern w:val="21"/>
          <w:sz w:val="20"/>
          <w:szCs w:val="16"/>
          <w:highlight w:val="none"/>
        </w:rPr>
        <w:fldChar w:fldCharType="separate"/>
      </w:r>
      <w:r>
        <w:rPr>
          <w:rFonts w:hint="eastAsia" w:ascii="Times New Roman" w:hAnsi="Times New Roman" w:eastAsia="宋体"/>
          <w:color w:val="auto"/>
          <w:sz w:val="20"/>
          <w:szCs w:val="16"/>
          <w:highlight w:val="none"/>
        </w:rPr>
        <w:t>⑤</w:t>
      </w:r>
      <w:r>
        <w:rPr>
          <w:rFonts w:ascii="Times New Roman" w:hAnsi="Times New Roman" w:eastAsia="宋体"/>
          <w:snapToGrid w:val="0"/>
          <w:color w:val="auto"/>
          <w:spacing w:val="-16"/>
          <w:kern w:val="21"/>
          <w:sz w:val="20"/>
          <w:szCs w:val="16"/>
          <w:highlight w:val="none"/>
        </w:rPr>
        <w:fldChar w:fldCharType="end"/>
      </w:r>
      <w:r>
        <w:rPr>
          <w:rFonts w:ascii="Times New Roman" w:hAnsi="Times New Roman" w:eastAsia="宋体"/>
          <w:snapToGrid w:val="0"/>
          <w:color w:val="auto"/>
          <w:spacing w:val="-16"/>
          <w:kern w:val="21"/>
          <w:sz w:val="20"/>
          <w:szCs w:val="16"/>
          <w:highlight w:val="none"/>
        </w:rPr>
        <w:t>；</w:t>
      </w:r>
      <w:r>
        <w:rPr>
          <w:rFonts w:ascii="Times New Roman" w:hAnsi="Times New Roman" w:eastAsia="宋体"/>
          <w:snapToGrid w:val="0"/>
          <w:color w:val="auto"/>
          <w:spacing w:val="-6"/>
          <w:kern w:val="21"/>
          <w:sz w:val="20"/>
          <w:szCs w:val="16"/>
          <w:highlight w:val="none"/>
        </w:rPr>
        <w:fldChar w:fldCharType="begin"/>
      </w:r>
      <w:r>
        <w:rPr>
          <w:rFonts w:ascii="Times New Roman" w:hAnsi="Times New Roman" w:eastAsia="宋体"/>
          <w:snapToGrid w:val="0"/>
          <w:color w:val="auto"/>
          <w:spacing w:val="-6"/>
          <w:kern w:val="21"/>
          <w:sz w:val="20"/>
          <w:szCs w:val="16"/>
          <w:highlight w:val="none"/>
        </w:rPr>
        <w:instrText xml:space="preserve"> = 7 \* GB3 \* MERGEFORMAT </w:instrText>
      </w:r>
      <w:r>
        <w:rPr>
          <w:rFonts w:ascii="Times New Roman" w:hAnsi="Times New Roman" w:eastAsia="宋体"/>
          <w:snapToGrid w:val="0"/>
          <w:color w:val="auto"/>
          <w:spacing w:val="-6"/>
          <w:kern w:val="21"/>
          <w:sz w:val="20"/>
          <w:szCs w:val="16"/>
          <w:highlight w:val="none"/>
        </w:rPr>
        <w:fldChar w:fldCharType="separate"/>
      </w:r>
      <w:r>
        <w:rPr>
          <w:rFonts w:hint="eastAsia" w:ascii="Times New Roman" w:hAnsi="Times New Roman" w:eastAsia="宋体"/>
          <w:color w:val="auto"/>
          <w:sz w:val="20"/>
          <w:szCs w:val="16"/>
          <w:highlight w:val="none"/>
        </w:rPr>
        <w:t>⑦</w:t>
      </w:r>
      <w:r>
        <w:rPr>
          <w:rFonts w:ascii="Times New Roman" w:hAnsi="Times New Roman" w:eastAsia="宋体"/>
          <w:snapToGrid w:val="0"/>
          <w:color w:val="auto"/>
          <w:spacing w:val="-6"/>
          <w:kern w:val="21"/>
          <w:sz w:val="20"/>
          <w:szCs w:val="16"/>
          <w:highlight w:val="none"/>
        </w:rPr>
        <w:fldChar w:fldCharType="end"/>
      </w:r>
      <w:r>
        <w:rPr>
          <w:rFonts w:ascii="Times New Roman" w:hAnsi="Times New Roman" w:eastAsia="宋体"/>
          <w:snapToGrid w:val="0"/>
          <w:color w:val="auto"/>
          <w:spacing w:val="-6"/>
          <w:kern w:val="21"/>
          <w:sz w:val="20"/>
          <w:szCs w:val="16"/>
          <w:highlight w:val="none"/>
        </w:rPr>
        <w:t>=</w:t>
      </w:r>
      <w:r>
        <w:rPr>
          <w:rFonts w:ascii="Times New Roman" w:hAnsi="Times New Roman" w:eastAsia="宋体"/>
          <w:snapToGrid w:val="0"/>
          <w:color w:val="auto"/>
          <w:spacing w:val="-16"/>
          <w:kern w:val="21"/>
          <w:sz w:val="20"/>
          <w:szCs w:val="16"/>
          <w:highlight w:val="none"/>
        </w:rPr>
        <w:fldChar w:fldCharType="begin"/>
      </w:r>
      <w:r>
        <w:rPr>
          <w:rFonts w:ascii="Times New Roman" w:hAnsi="Times New Roman" w:eastAsia="宋体"/>
          <w:snapToGrid w:val="0"/>
          <w:color w:val="auto"/>
          <w:spacing w:val="-16"/>
          <w:kern w:val="21"/>
          <w:sz w:val="20"/>
          <w:szCs w:val="16"/>
          <w:highlight w:val="none"/>
        </w:rPr>
        <w:instrText xml:space="preserve"> = 6 \* GB3 \* MERGEFORMAT </w:instrText>
      </w:r>
      <w:r>
        <w:rPr>
          <w:rFonts w:ascii="Times New Roman" w:hAnsi="Times New Roman" w:eastAsia="宋体"/>
          <w:snapToGrid w:val="0"/>
          <w:color w:val="auto"/>
          <w:spacing w:val="-16"/>
          <w:kern w:val="21"/>
          <w:sz w:val="20"/>
          <w:szCs w:val="16"/>
          <w:highlight w:val="none"/>
        </w:rPr>
        <w:fldChar w:fldCharType="separate"/>
      </w:r>
      <w:r>
        <w:rPr>
          <w:rFonts w:hint="eastAsia" w:ascii="Times New Roman" w:hAnsi="Times New Roman" w:eastAsia="宋体"/>
          <w:color w:val="auto"/>
          <w:sz w:val="20"/>
          <w:szCs w:val="16"/>
          <w:highlight w:val="none"/>
        </w:rPr>
        <w:t>⑥</w:t>
      </w:r>
      <w:r>
        <w:rPr>
          <w:rFonts w:ascii="Times New Roman" w:hAnsi="Times New Roman" w:eastAsia="宋体"/>
          <w:snapToGrid w:val="0"/>
          <w:color w:val="auto"/>
          <w:spacing w:val="-16"/>
          <w:kern w:val="21"/>
          <w:sz w:val="20"/>
          <w:szCs w:val="16"/>
          <w:highlight w:val="none"/>
        </w:rPr>
        <w:fldChar w:fldCharType="end"/>
      </w:r>
      <w:r>
        <w:rPr>
          <w:rFonts w:ascii="Times New Roman" w:hAnsi="Times New Roman" w:eastAsia="宋体"/>
          <w:snapToGrid w:val="0"/>
          <w:color w:val="auto"/>
          <w:spacing w:val="-16"/>
          <w:kern w:val="21"/>
          <w:sz w:val="20"/>
          <w:szCs w:val="16"/>
          <w:highlight w:val="none"/>
        </w:rPr>
        <w:t>-</w:t>
      </w:r>
      <w:r>
        <w:rPr>
          <w:rFonts w:ascii="Times New Roman" w:hAnsi="Times New Roman" w:eastAsia="宋体"/>
          <w:snapToGrid w:val="0"/>
          <w:color w:val="auto"/>
          <w:spacing w:val="-6"/>
          <w:kern w:val="21"/>
          <w:sz w:val="20"/>
          <w:szCs w:val="16"/>
          <w:highlight w:val="none"/>
        </w:rPr>
        <w:fldChar w:fldCharType="begin"/>
      </w:r>
      <w:r>
        <w:rPr>
          <w:rFonts w:ascii="Times New Roman" w:hAnsi="Times New Roman" w:eastAsia="宋体"/>
          <w:snapToGrid w:val="0"/>
          <w:color w:val="auto"/>
          <w:spacing w:val="-6"/>
          <w:kern w:val="21"/>
          <w:sz w:val="20"/>
          <w:szCs w:val="16"/>
          <w:highlight w:val="none"/>
        </w:rPr>
        <w:instrText xml:space="preserve"> = 1 \* GB3 \* MERGEFORMAT </w:instrText>
      </w:r>
      <w:r>
        <w:rPr>
          <w:rFonts w:ascii="Times New Roman" w:hAnsi="Times New Roman" w:eastAsia="宋体"/>
          <w:snapToGrid w:val="0"/>
          <w:color w:val="auto"/>
          <w:spacing w:val="-6"/>
          <w:kern w:val="21"/>
          <w:sz w:val="20"/>
          <w:szCs w:val="16"/>
          <w:highlight w:val="none"/>
        </w:rPr>
        <w:fldChar w:fldCharType="separate"/>
      </w:r>
      <w:r>
        <w:rPr>
          <w:rFonts w:hint="eastAsia" w:ascii="Times New Roman" w:hAnsi="Times New Roman" w:eastAsia="宋体"/>
          <w:color w:val="auto"/>
          <w:sz w:val="20"/>
          <w:szCs w:val="16"/>
          <w:highlight w:val="none"/>
        </w:rPr>
        <w:t>①</w:t>
      </w:r>
      <w:r>
        <w:rPr>
          <w:rFonts w:ascii="Times New Roman" w:hAnsi="Times New Roman" w:eastAsia="宋体"/>
          <w:snapToGrid w:val="0"/>
          <w:color w:val="auto"/>
          <w:spacing w:val="-6"/>
          <w:kern w:val="21"/>
          <w:sz w:val="20"/>
          <w:szCs w:val="16"/>
          <w:highlight w:val="none"/>
        </w:rPr>
        <w:fldChar w:fldCharType="end"/>
      </w:r>
    </w:p>
    <w:p w14:paraId="5769F552">
      <w:pPr>
        <w:rPr>
          <w:rFonts w:hint="eastAsia" w:ascii="Times New Roman" w:hAnsi="Times New Roman" w:eastAsia="宋体"/>
          <w:color w:val="auto"/>
          <w:highlight w:val="none"/>
        </w:rPr>
        <w:sectPr>
          <w:footerReference r:id="rId9" w:type="default"/>
          <w:pgSz w:w="16838" w:h="11906" w:orient="landscape"/>
          <w:pgMar w:top="1417" w:right="1361" w:bottom="1417" w:left="1361" w:header="567" w:footer="567" w:gutter="0"/>
          <w:pgBorders>
            <w:top w:val="none" w:sz="0" w:space="0"/>
            <w:left w:val="none" w:sz="0" w:space="0"/>
            <w:bottom w:val="none" w:sz="0" w:space="0"/>
            <w:right w:val="none" w:sz="0" w:space="0"/>
          </w:pgBorders>
          <w:pgNumType w:fmt="decimal"/>
          <w:cols w:space="720" w:num="1"/>
          <w:docGrid w:linePitch="312" w:charSpace="0"/>
        </w:sectPr>
      </w:pPr>
    </w:p>
    <w:p w14:paraId="07E9938A">
      <w:pPr>
        <w:ind w:left="0" w:leftChars="0" w:firstLine="0" w:firstLineChars="0"/>
        <w:rPr>
          <w:rFonts w:ascii="Times New Roman" w:hAnsi="Times New Roman" w:eastAsia="宋体"/>
          <w:color w:val="auto"/>
          <w:highlight w:val="none"/>
        </w:rPr>
      </w:pPr>
    </w:p>
    <w:sectPr>
      <w:footerReference r:id="rId10"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7F" w:usb3="00000000" w:csb0="203F01FF" w:csb1="DFFF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9C615">
    <w:pPr>
      <w:pStyle w:val="18"/>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0419E">
    <w:pPr>
      <w:pStyle w:val="18"/>
      <w:keepNext w:val="0"/>
      <w:keepLines w:val="0"/>
      <w:pageBreakBefore w:val="0"/>
      <w:widowControl w:val="0"/>
      <w:kinsoku/>
      <w:wordWrap/>
      <w:overflowPunct/>
      <w:topLinePunct w:val="0"/>
      <w:bidi w:val="0"/>
      <w:adjustRightInd w:val="0"/>
      <w:snapToGrid w:val="0"/>
      <w:ind w:left="120" w:leftChars="50" w:right="120" w:rightChars="50" w:firstLine="0" w:firstLineChars="0"/>
      <w:jc w:val="center"/>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F5014D">
                          <w:pPr>
                            <w:pStyle w:val="18"/>
                            <w:keepNext w:val="0"/>
                            <w:keepLines w:val="0"/>
                            <w:pageBreakBefore w:val="0"/>
                            <w:widowControl w:val="0"/>
                            <w:kinsoku/>
                            <w:wordWrap/>
                            <w:overflowPunct/>
                            <w:topLinePunct w:val="0"/>
                            <w:bidi w:val="0"/>
                            <w:adjustRightInd w:val="0"/>
                            <w:snapToGrid w:val="0"/>
                            <w:ind w:left="120" w:leftChars="50" w:right="120" w:rightChars="50" w:firstLine="0" w:firstLineChars="0"/>
                            <w:textAlignment w:val="auto"/>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PHtwF3gAQAAwQMAAA4AAAAA&#10;AAAAAQAgAAAAHgEAAGRycy9lMm9Eb2MueG1sUEsFBgAAAAAGAAYAWQEAAHAFAAAAAA==&#10;">
              <v:fill on="f" focussize="0,0"/>
              <v:stroke on="f"/>
              <v:imagedata o:title=""/>
              <o:lock v:ext="edit" aspectratio="f"/>
              <v:textbox inset="0mm,0mm,0mm,0mm" style="mso-fit-shape-to-text:t;">
                <w:txbxContent>
                  <w:p w14:paraId="2BF5014D">
                    <w:pPr>
                      <w:pStyle w:val="18"/>
                      <w:keepNext w:val="0"/>
                      <w:keepLines w:val="0"/>
                      <w:pageBreakBefore w:val="0"/>
                      <w:widowControl w:val="0"/>
                      <w:kinsoku/>
                      <w:wordWrap/>
                      <w:overflowPunct/>
                      <w:topLinePunct w:val="0"/>
                      <w:bidi w:val="0"/>
                      <w:adjustRightInd w:val="0"/>
                      <w:snapToGrid w:val="0"/>
                      <w:ind w:left="120" w:leftChars="50" w:right="120" w:rightChars="50" w:firstLine="0" w:firstLineChars="0"/>
                      <w:textAlignment w:val="auto"/>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5314E">
    <w:pPr>
      <w:pStyle w:val="18"/>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02BDF1">
                          <w:pPr>
                            <w:pStyle w:val="18"/>
                            <w:keepNext w:val="0"/>
                            <w:keepLines w:val="0"/>
                            <w:pageBreakBefore w:val="0"/>
                            <w:widowControl w:val="0"/>
                            <w:kinsoku/>
                            <w:wordWrap/>
                            <w:overflowPunct/>
                            <w:topLinePunct w:val="0"/>
                            <w:bidi w:val="0"/>
                            <w:adjustRightInd w:val="0"/>
                            <w:snapToGrid w:val="0"/>
                            <w:ind w:left="120" w:leftChars="50" w:right="120" w:rightChars="50" w:firstLine="0" w:firstLineChars="0"/>
                            <w:textAlignment w:val="auto"/>
                          </w:pPr>
                          <w:r>
                            <w:fldChar w:fldCharType="begin"/>
                          </w:r>
                          <w:r>
                            <w:instrText xml:space="preserve"> PAGE  \* MERGEFORMAT </w:instrText>
                          </w:r>
                          <w:r>
                            <w:fldChar w:fldCharType="separate"/>
                          </w:r>
                          <w:r>
                            <w:t>16</w:t>
                          </w:r>
                          <w:r>
                            <w:fldChar w:fldCharType="end"/>
                          </w:r>
                        </w:p>
                      </w:txbxContent>
                    </wps:txbx>
                    <wps:bodyPr vert="horz" wrap="none" lIns="0" tIns="0" rIns="0" bIns="0" anchor="t" anchorCtr="0" upright="0">
                      <a:spAutoFit/>
                    </wps:bodyPr>
                  </wps:wsp>
                </a:graphicData>
              </a:graphic>
            </wp:anchor>
          </w:drawing>
        </mc:Choice>
        <mc:Fallback>
          <w:pict>
            <v:shape id="文本框 10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HPMwt4QEAAMEDAAAOAAAA&#10;AAAAAAEAIAAAAB4BAABkcnMvZTJvRG9jLnhtbFBLBQYAAAAABgAGAFkBAABxBQAAAAA=&#10;">
              <v:fill on="f" focussize="0,0"/>
              <v:stroke on="f"/>
              <v:imagedata o:title=""/>
              <o:lock v:ext="edit" aspectratio="f"/>
              <v:textbox inset="0mm,0mm,0mm,0mm" style="mso-fit-shape-to-text:t;">
                <w:txbxContent>
                  <w:p w14:paraId="5502BDF1">
                    <w:pPr>
                      <w:pStyle w:val="18"/>
                      <w:keepNext w:val="0"/>
                      <w:keepLines w:val="0"/>
                      <w:pageBreakBefore w:val="0"/>
                      <w:widowControl w:val="0"/>
                      <w:kinsoku/>
                      <w:wordWrap/>
                      <w:overflowPunct/>
                      <w:topLinePunct w:val="0"/>
                      <w:bidi w:val="0"/>
                      <w:adjustRightInd w:val="0"/>
                      <w:snapToGrid w:val="0"/>
                      <w:ind w:left="120" w:leftChars="50" w:right="120" w:rightChars="50" w:firstLine="0" w:firstLineChars="0"/>
                      <w:textAlignment w:val="auto"/>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D55E2">
    <w:pPr>
      <w:pStyle w:val="18"/>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E6BE2D">
                          <w:pPr>
                            <w:pStyle w:val="18"/>
                            <w:keepNext w:val="0"/>
                            <w:keepLines w:val="0"/>
                            <w:pageBreakBefore w:val="0"/>
                            <w:widowControl w:val="0"/>
                            <w:kinsoku/>
                            <w:wordWrap/>
                            <w:overflowPunct/>
                            <w:topLinePunct w:val="0"/>
                            <w:bidi w:val="0"/>
                            <w:adjustRightInd w:val="0"/>
                            <w:snapToGrid w:val="0"/>
                            <w:ind w:left="120" w:leftChars="50" w:right="120" w:rightChars="50" w:firstLine="0" w:firstLineChars="0"/>
                            <w:textAlignment w:val="auto"/>
                          </w:pPr>
                          <w:r>
                            <w:fldChar w:fldCharType="begin"/>
                          </w:r>
                          <w:r>
                            <w:instrText xml:space="preserve"> PAGE  \* MERGEFORMAT </w:instrText>
                          </w:r>
                          <w:r>
                            <w:fldChar w:fldCharType="separate"/>
                          </w:r>
                          <w:r>
                            <w:t>69</w:t>
                          </w:r>
                          <w:r>
                            <w:fldChar w:fldCharType="end"/>
                          </w:r>
                        </w:p>
                      </w:txbxContent>
                    </wps:txbx>
                    <wps:bodyPr vert="horz" wrap="none" lIns="0" tIns="0" rIns="0" bIns="0" anchor="t" anchorCtr="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EJqWRd8BAADCAwAADgAAAAAA&#10;AAABACAAAAAeAQAAZHJzL2Uyb0RvYy54bWxQSwUGAAAAAAYABgBZAQAAbwUAAAAA&#10;">
              <v:fill on="f" focussize="0,0"/>
              <v:stroke on="f"/>
              <v:imagedata o:title=""/>
              <o:lock v:ext="edit" aspectratio="f"/>
              <v:textbox inset="0mm,0mm,0mm,0mm" style="mso-fit-shape-to-text:t;">
                <w:txbxContent>
                  <w:p w14:paraId="42E6BE2D">
                    <w:pPr>
                      <w:pStyle w:val="18"/>
                      <w:keepNext w:val="0"/>
                      <w:keepLines w:val="0"/>
                      <w:pageBreakBefore w:val="0"/>
                      <w:widowControl w:val="0"/>
                      <w:kinsoku/>
                      <w:wordWrap/>
                      <w:overflowPunct/>
                      <w:topLinePunct w:val="0"/>
                      <w:bidi w:val="0"/>
                      <w:adjustRightInd w:val="0"/>
                      <w:snapToGrid w:val="0"/>
                      <w:ind w:left="120" w:leftChars="50" w:right="120" w:rightChars="50" w:firstLine="0" w:firstLineChars="0"/>
                      <w:textAlignment w:val="auto"/>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58FCB">
    <w:pPr>
      <w:pStyle w:val="18"/>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66721">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A8112B"/>
    <w:multiLevelType w:val="singleLevel"/>
    <w:tmpl w:val="A1A8112B"/>
    <w:lvl w:ilvl="0" w:tentative="0">
      <w:start w:val="1"/>
      <w:numFmt w:val="decimal"/>
      <w:suff w:val="nothing"/>
      <w:lvlText w:val="（%1）"/>
      <w:lvlJc w:val="left"/>
    </w:lvl>
  </w:abstractNum>
  <w:abstractNum w:abstractNumId="1">
    <w:nsid w:val="C9CFB029"/>
    <w:multiLevelType w:val="singleLevel"/>
    <w:tmpl w:val="C9CFB029"/>
    <w:lvl w:ilvl="0" w:tentative="0">
      <w:start w:val="2"/>
      <w:numFmt w:val="chineseCounting"/>
      <w:suff w:val="nothing"/>
      <w:lvlText w:val="（%1）"/>
      <w:lvlJc w:val="left"/>
      <w:rPr>
        <w:rFonts w:hint="eastAsia"/>
      </w:rPr>
    </w:lvl>
  </w:abstractNum>
  <w:abstractNum w:abstractNumId="2">
    <w:nsid w:val="F0BA49B5"/>
    <w:multiLevelType w:val="singleLevel"/>
    <w:tmpl w:val="F0BA49B5"/>
    <w:lvl w:ilvl="0" w:tentative="0">
      <w:start w:val="3"/>
      <w:numFmt w:val="decimal"/>
      <w:suff w:val="nothing"/>
      <w:lvlText w:val="（%1）"/>
      <w:lvlJc w:val="left"/>
    </w:lvl>
  </w:abstractNum>
  <w:abstractNum w:abstractNumId="3">
    <w:nsid w:val="3075D39B"/>
    <w:multiLevelType w:val="singleLevel"/>
    <w:tmpl w:val="3075D39B"/>
    <w:lvl w:ilvl="0" w:tentative="0">
      <w:start w:val="4"/>
      <w:numFmt w:val="chineseCounting"/>
      <w:suff w:val="nothing"/>
      <w:lvlText w:val="%1、"/>
      <w:lvlJc w:val="left"/>
      <w:rPr>
        <w:rFonts w:hint="eastAsia"/>
      </w:rPr>
    </w:lvl>
  </w:abstractNum>
  <w:abstractNum w:abstractNumId="4">
    <w:nsid w:val="3DBD3A94"/>
    <w:multiLevelType w:val="singleLevel"/>
    <w:tmpl w:val="3DBD3A94"/>
    <w:lvl w:ilvl="0" w:tentative="0">
      <w:start w:val="1"/>
      <w:numFmt w:val="decimal"/>
      <w:lvlText w:val="%1"/>
      <w:lvlJc w:val="left"/>
      <w:pPr>
        <w:tabs>
          <w:tab w:val="left" w:pos="420"/>
        </w:tabs>
        <w:ind w:left="425" w:leftChars="0" w:hanging="425" w:firstLineChars="0"/>
      </w:pPr>
      <w:rPr>
        <w:rFont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0NTVhMDg2NDc3OWE4NWNmMTdmYzFmMDI5MTEwMDI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018"/>
    <w:rsid w:val="001F69E4"/>
    <w:rsid w:val="002125B4"/>
    <w:rsid w:val="002155B8"/>
    <w:rsid w:val="00224839"/>
    <w:rsid w:val="002249B2"/>
    <w:rsid w:val="00225378"/>
    <w:rsid w:val="00226574"/>
    <w:rsid w:val="002278EC"/>
    <w:rsid w:val="0023280E"/>
    <w:rsid w:val="002377D1"/>
    <w:rsid w:val="002506BC"/>
    <w:rsid w:val="00254345"/>
    <w:rsid w:val="00264557"/>
    <w:rsid w:val="002805AB"/>
    <w:rsid w:val="00284204"/>
    <w:rsid w:val="00285085"/>
    <w:rsid w:val="00291773"/>
    <w:rsid w:val="0029325B"/>
    <w:rsid w:val="002A168C"/>
    <w:rsid w:val="002A3DC7"/>
    <w:rsid w:val="002B49E2"/>
    <w:rsid w:val="002B7B00"/>
    <w:rsid w:val="002B7C44"/>
    <w:rsid w:val="002C2B17"/>
    <w:rsid w:val="002C61F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1ABA"/>
    <w:rsid w:val="003C6C16"/>
    <w:rsid w:val="003D794D"/>
    <w:rsid w:val="003E3058"/>
    <w:rsid w:val="003E76A9"/>
    <w:rsid w:val="003F0809"/>
    <w:rsid w:val="003F5F2A"/>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402CA"/>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46033"/>
    <w:rsid w:val="00847367"/>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43594"/>
    <w:rsid w:val="0095155F"/>
    <w:rsid w:val="00954429"/>
    <w:rsid w:val="009563CE"/>
    <w:rsid w:val="00976328"/>
    <w:rsid w:val="0097680D"/>
    <w:rsid w:val="00982438"/>
    <w:rsid w:val="0098404C"/>
    <w:rsid w:val="00985283"/>
    <w:rsid w:val="0099584C"/>
    <w:rsid w:val="00995992"/>
    <w:rsid w:val="009A03E5"/>
    <w:rsid w:val="009A0F3B"/>
    <w:rsid w:val="009A13B3"/>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182B"/>
    <w:rsid w:val="00CC489B"/>
    <w:rsid w:val="00CD2BCD"/>
    <w:rsid w:val="00CD3A4C"/>
    <w:rsid w:val="00CE10E9"/>
    <w:rsid w:val="00CE2910"/>
    <w:rsid w:val="00CE5393"/>
    <w:rsid w:val="00CF36BE"/>
    <w:rsid w:val="00CF6000"/>
    <w:rsid w:val="00D003F3"/>
    <w:rsid w:val="00D0364F"/>
    <w:rsid w:val="00D06834"/>
    <w:rsid w:val="00D308ED"/>
    <w:rsid w:val="00D36D86"/>
    <w:rsid w:val="00D40D69"/>
    <w:rsid w:val="00D428AA"/>
    <w:rsid w:val="00D42B17"/>
    <w:rsid w:val="00D50A34"/>
    <w:rsid w:val="00D53EFA"/>
    <w:rsid w:val="00D94A7C"/>
    <w:rsid w:val="00D95896"/>
    <w:rsid w:val="00DB2983"/>
    <w:rsid w:val="00DC1257"/>
    <w:rsid w:val="00DC3DC0"/>
    <w:rsid w:val="00DC5B2B"/>
    <w:rsid w:val="00DD318D"/>
    <w:rsid w:val="00DE51ED"/>
    <w:rsid w:val="00DF2E12"/>
    <w:rsid w:val="00DF514A"/>
    <w:rsid w:val="00DF6690"/>
    <w:rsid w:val="00DF6804"/>
    <w:rsid w:val="00E0358D"/>
    <w:rsid w:val="00E04323"/>
    <w:rsid w:val="00E070A2"/>
    <w:rsid w:val="00E0770D"/>
    <w:rsid w:val="00E2656A"/>
    <w:rsid w:val="00E412D0"/>
    <w:rsid w:val="00E56322"/>
    <w:rsid w:val="00E60982"/>
    <w:rsid w:val="00E62C62"/>
    <w:rsid w:val="00E654C1"/>
    <w:rsid w:val="00E65D97"/>
    <w:rsid w:val="00E72A5A"/>
    <w:rsid w:val="00E73354"/>
    <w:rsid w:val="00E9242D"/>
    <w:rsid w:val="00EB5255"/>
    <w:rsid w:val="00EB5C47"/>
    <w:rsid w:val="00ED0639"/>
    <w:rsid w:val="00EE3BB8"/>
    <w:rsid w:val="00EF4755"/>
    <w:rsid w:val="00EF7135"/>
    <w:rsid w:val="00F027DB"/>
    <w:rsid w:val="00F14A7A"/>
    <w:rsid w:val="00F22985"/>
    <w:rsid w:val="00F3383E"/>
    <w:rsid w:val="00F465A7"/>
    <w:rsid w:val="00F46D15"/>
    <w:rsid w:val="00F50B7C"/>
    <w:rsid w:val="00F550E6"/>
    <w:rsid w:val="00F74345"/>
    <w:rsid w:val="00F80A0A"/>
    <w:rsid w:val="00F82B19"/>
    <w:rsid w:val="00F9212D"/>
    <w:rsid w:val="00F965DA"/>
    <w:rsid w:val="00FA406A"/>
    <w:rsid w:val="00FB503A"/>
    <w:rsid w:val="00FB516C"/>
    <w:rsid w:val="00FD0236"/>
    <w:rsid w:val="00FD18F4"/>
    <w:rsid w:val="00FD54DB"/>
    <w:rsid w:val="00FD619F"/>
    <w:rsid w:val="01290F7E"/>
    <w:rsid w:val="013B2B96"/>
    <w:rsid w:val="01514860"/>
    <w:rsid w:val="015D1E09"/>
    <w:rsid w:val="01635D69"/>
    <w:rsid w:val="01743E31"/>
    <w:rsid w:val="0174543F"/>
    <w:rsid w:val="017E2A82"/>
    <w:rsid w:val="01853E11"/>
    <w:rsid w:val="0192652E"/>
    <w:rsid w:val="01AA6F8C"/>
    <w:rsid w:val="01B666C0"/>
    <w:rsid w:val="01B8783E"/>
    <w:rsid w:val="01BB7833"/>
    <w:rsid w:val="01BE7E04"/>
    <w:rsid w:val="01BF37C7"/>
    <w:rsid w:val="01C1789B"/>
    <w:rsid w:val="01CC0CC7"/>
    <w:rsid w:val="01E005CD"/>
    <w:rsid w:val="01E1319E"/>
    <w:rsid w:val="01E7687A"/>
    <w:rsid w:val="01EE7C08"/>
    <w:rsid w:val="01F36FCC"/>
    <w:rsid w:val="020270B9"/>
    <w:rsid w:val="020C008E"/>
    <w:rsid w:val="02274EC8"/>
    <w:rsid w:val="022841F2"/>
    <w:rsid w:val="02290BCB"/>
    <w:rsid w:val="023613C7"/>
    <w:rsid w:val="023F0464"/>
    <w:rsid w:val="024912E2"/>
    <w:rsid w:val="024C0DD3"/>
    <w:rsid w:val="026078A1"/>
    <w:rsid w:val="02697903"/>
    <w:rsid w:val="027C0D50"/>
    <w:rsid w:val="0284231A"/>
    <w:rsid w:val="02913461"/>
    <w:rsid w:val="02A12ECC"/>
    <w:rsid w:val="02AB5AF9"/>
    <w:rsid w:val="02AE1145"/>
    <w:rsid w:val="02B378A2"/>
    <w:rsid w:val="02CD38AA"/>
    <w:rsid w:val="02D445C7"/>
    <w:rsid w:val="02F32FFC"/>
    <w:rsid w:val="02F96569"/>
    <w:rsid w:val="02FF5E45"/>
    <w:rsid w:val="03035935"/>
    <w:rsid w:val="03092820"/>
    <w:rsid w:val="031E62CB"/>
    <w:rsid w:val="03246A06"/>
    <w:rsid w:val="0328366C"/>
    <w:rsid w:val="03327FC8"/>
    <w:rsid w:val="034104E4"/>
    <w:rsid w:val="034A3564"/>
    <w:rsid w:val="034F45E8"/>
    <w:rsid w:val="035032C9"/>
    <w:rsid w:val="035E2888"/>
    <w:rsid w:val="036D54D9"/>
    <w:rsid w:val="0374238F"/>
    <w:rsid w:val="03781388"/>
    <w:rsid w:val="03834FBD"/>
    <w:rsid w:val="0385459C"/>
    <w:rsid w:val="038D51FF"/>
    <w:rsid w:val="038E27E2"/>
    <w:rsid w:val="038F0F77"/>
    <w:rsid w:val="03B804CE"/>
    <w:rsid w:val="03C350C4"/>
    <w:rsid w:val="03C37AEA"/>
    <w:rsid w:val="03C4353C"/>
    <w:rsid w:val="03D1158F"/>
    <w:rsid w:val="03D251BA"/>
    <w:rsid w:val="03D270B5"/>
    <w:rsid w:val="03DD4B8B"/>
    <w:rsid w:val="03EA7B21"/>
    <w:rsid w:val="03F43310"/>
    <w:rsid w:val="03F67248"/>
    <w:rsid w:val="03FD2384"/>
    <w:rsid w:val="043B6AF7"/>
    <w:rsid w:val="04430FC0"/>
    <w:rsid w:val="0450307B"/>
    <w:rsid w:val="04545D1C"/>
    <w:rsid w:val="04605389"/>
    <w:rsid w:val="0462668B"/>
    <w:rsid w:val="047168CE"/>
    <w:rsid w:val="04722833"/>
    <w:rsid w:val="04815C0A"/>
    <w:rsid w:val="04912ACD"/>
    <w:rsid w:val="049C7DEF"/>
    <w:rsid w:val="04A62A1C"/>
    <w:rsid w:val="04B36EE7"/>
    <w:rsid w:val="04E62E18"/>
    <w:rsid w:val="04F31D1A"/>
    <w:rsid w:val="0519537F"/>
    <w:rsid w:val="051F632A"/>
    <w:rsid w:val="052B4CCF"/>
    <w:rsid w:val="052B6E5B"/>
    <w:rsid w:val="0539351D"/>
    <w:rsid w:val="05445D91"/>
    <w:rsid w:val="054A6CD1"/>
    <w:rsid w:val="054D142B"/>
    <w:rsid w:val="055567C7"/>
    <w:rsid w:val="05566AA7"/>
    <w:rsid w:val="05571F68"/>
    <w:rsid w:val="055C3A53"/>
    <w:rsid w:val="056441D3"/>
    <w:rsid w:val="056A06BF"/>
    <w:rsid w:val="0571302A"/>
    <w:rsid w:val="057A17B3"/>
    <w:rsid w:val="05860158"/>
    <w:rsid w:val="058E7EB0"/>
    <w:rsid w:val="0591547A"/>
    <w:rsid w:val="05B828E7"/>
    <w:rsid w:val="05D435B9"/>
    <w:rsid w:val="05F83EAE"/>
    <w:rsid w:val="05FD32C9"/>
    <w:rsid w:val="060F639F"/>
    <w:rsid w:val="06127533"/>
    <w:rsid w:val="06147E59"/>
    <w:rsid w:val="061B11E8"/>
    <w:rsid w:val="06204F50"/>
    <w:rsid w:val="063E7D85"/>
    <w:rsid w:val="064C4ADF"/>
    <w:rsid w:val="065D1E89"/>
    <w:rsid w:val="06703756"/>
    <w:rsid w:val="06755A67"/>
    <w:rsid w:val="067B1C86"/>
    <w:rsid w:val="067B6431"/>
    <w:rsid w:val="067D77AC"/>
    <w:rsid w:val="06863B44"/>
    <w:rsid w:val="06965CA6"/>
    <w:rsid w:val="0698721F"/>
    <w:rsid w:val="069C62F3"/>
    <w:rsid w:val="06A448DD"/>
    <w:rsid w:val="06C47189"/>
    <w:rsid w:val="06CB676A"/>
    <w:rsid w:val="06D373CC"/>
    <w:rsid w:val="06EA39DF"/>
    <w:rsid w:val="06F02D57"/>
    <w:rsid w:val="06F55595"/>
    <w:rsid w:val="070E2AFA"/>
    <w:rsid w:val="07204535"/>
    <w:rsid w:val="07293586"/>
    <w:rsid w:val="07295285"/>
    <w:rsid w:val="073562D9"/>
    <w:rsid w:val="07636392"/>
    <w:rsid w:val="076775B0"/>
    <w:rsid w:val="076E3F95"/>
    <w:rsid w:val="07770C56"/>
    <w:rsid w:val="0777244E"/>
    <w:rsid w:val="079528D4"/>
    <w:rsid w:val="07995D19"/>
    <w:rsid w:val="07AD2313"/>
    <w:rsid w:val="07B05960"/>
    <w:rsid w:val="07B90CB8"/>
    <w:rsid w:val="07B96EB3"/>
    <w:rsid w:val="07BB67DE"/>
    <w:rsid w:val="07C05BA3"/>
    <w:rsid w:val="07D72EEC"/>
    <w:rsid w:val="07F12B74"/>
    <w:rsid w:val="07FB4E2D"/>
    <w:rsid w:val="08000695"/>
    <w:rsid w:val="08031F33"/>
    <w:rsid w:val="08057A5A"/>
    <w:rsid w:val="080B674A"/>
    <w:rsid w:val="08200CE5"/>
    <w:rsid w:val="08251EAA"/>
    <w:rsid w:val="08281C65"/>
    <w:rsid w:val="08362309"/>
    <w:rsid w:val="08365E65"/>
    <w:rsid w:val="083B16CD"/>
    <w:rsid w:val="08477B74"/>
    <w:rsid w:val="08626E34"/>
    <w:rsid w:val="08687FE8"/>
    <w:rsid w:val="086A5B0F"/>
    <w:rsid w:val="086F3EA2"/>
    <w:rsid w:val="0878022B"/>
    <w:rsid w:val="088766C0"/>
    <w:rsid w:val="08907C6B"/>
    <w:rsid w:val="08A07782"/>
    <w:rsid w:val="08AE1B4A"/>
    <w:rsid w:val="08AE1E9F"/>
    <w:rsid w:val="08B123F7"/>
    <w:rsid w:val="08C401C2"/>
    <w:rsid w:val="08CF1E16"/>
    <w:rsid w:val="08DC6217"/>
    <w:rsid w:val="08FD2E27"/>
    <w:rsid w:val="090C38C7"/>
    <w:rsid w:val="09127CF8"/>
    <w:rsid w:val="091647BE"/>
    <w:rsid w:val="092217DD"/>
    <w:rsid w:val="093A7294"/>
    <w:rsid w:val="093D3223"/>
    <w:rsid w:val="0983157E"/>
    <w:rsid w:val="09CF6DEE"/>
    <w:rsid w:val="09D15564"/>
    <w:rsid w:val="09E35B78"/>
    <w:rsid w:val="09EC6D03"/>
    <w:rsid w:val="09EE394E"/>
    <w:rsid w:val="0A0655BF"/>
    <w:rsid w:val="0A0D0E47"/>
    <w:rsid w:val="0A116B8A"/>
    <w:rsid w:val="0A263993"/>
    <w:rsid w:val="0A283ED3"/>
    <w:rsid w:val="0A2A41DE"/>
    <w:rsid w:val="0A2D3AC2"/>
    <w:rsid w:val="0A2E773B"/>
    <w:rsid w:val="0A35554F"/>
    <w:rsid w:val="0A7143CA"/>
    <w:rsid w:val="0A7669ED"/>
    <w:rsid w:val="0A7E49E0"/>
    <w:rsid w:val="0A801619"/>
    <w:rsid w:val="0A876E4C"/>
    <w:rsid w:val="0A8E01DA"/>
    <w:rsid w:val="0AA413E9"/>
    <w:rsid w:val="0AA755DF"/>
    <w:rsid w:val="0ABD3DBD"/>
    <w:rsid w:val="0ACF434F"/>
    <w:rsid w:val="0AD32091"/>
    <w:rsid w:val="0ADB7197"/>
    <w:rsid w:val="0AE977B2"/>
    <w:rsid w:val="0AEA1189"/>
    <w:rsid w:val="0B120D44"/>
    <w:rsid w:val="0B1D41A6"/>
    <w:rsid w:val="0B2823DD"/>
    <w:rsid w:val="0B2B5E48"/>
    <w:rsid w:val="0B39095E"/>
    <w:rsid w:val="0B3C7C36"/>
    <w:rsid w:val="0B446AEB"/>
    <w:rsid w:val="0B7F5D75"/>
    <w:rsid w:val="0B9510F4"/>
    <w:rsid w:val="0B987CF2"/>
    <w:rsid w:val="0B9C6927"/>
    <w:rsid w:val="0BA13F3D"/>
    <w:rsid w:val="0BAB0918"/>
    <w:rsid w:val="0BAF665A"/>
    <w:rsid w:val="0BCA3494"/>
    <w:rsid w:val="0BD27BF6"/>
    <w:rsid w:val="0BE216AD"/>
    <w:rsid w:val="0BEB388D"/>
    <w:rsid w:val="0BFC126A"/>
    <w:rsid w:val="0BFC5617"/>
    <w:rsid w:val="0C0011BA"/>
    <w:rsid w:val="0C063DA0"/>
    <w:rsid w:val="0C0D15D3"/>
    <w:rsid w:val="0C117558"/>
    <w:rsid w:val="0C34090D"/>
    <w:rsid w:val="0C3B3C7D"/>
    <w:rsid w:val="0C4072B2"/>
    <w:rsid w:val="0C47614F"/>
    <w:rsid w:val="0C4A4FFD"/>
    <w:rsid w:val="0C770DFE"/>
    <w:rsid w:val="0C782E4F"/>
    <w:rsid w:val="0C817D7A"/>
    <w:rsid w:val="0C851169"/>
    <w:rsid w:val="0C9F61E6"/>
    <w:rsid w:val="0CA51ED6"/>
    <w:rsid w:val="0CAB2EAE"/>
    <w:rsid w:val="0CAF61E6"/>
    <w:rsid w:val="0CF16F4C"/>
    <w:rsid w:val="0D003464"/>
    <w:rsid w:val="0D026C5D"/>
    <w:rsid w:val="0D230698"/>
    <w:rsid w:val="0D336E17"/>
    <w:rsid w:val="0D42705A"/>
    <w:rsid w:val="0D484685"/>
    <w:rsid w:val="0D523741"/>
    <w:rsid w:val="0D621C7D"/>
    <w:rsid w:val="0D68593C"/>
    <w:rsid w:val="0D6C5618"/>
    <w:rsid w:val="0D774F56"/>
    <w:rsid w:val="0D7A11E1"/>
    <w:rsid w:val="0D907DC5"/>
    <w:rsid w:val="0D913B3D"/>
    <w:rsid w:val="0DA970D9"/>
    <w:rsid w:val="0DAF61D5"/>
    <w:rsid w:val="0DCA0BD4"/>
    <w:rsid w:val="0DE35C55"/>
    <w:rsid w:val="0E0D6F7B"/>
    <w:rsid w:val="0E1053AA"/>
    <w:rsid w:val="0E1B37A9"/>
    <w:rsid w:val="0E2E3EEC"/>
    <w:rsid w:val="0E583092"/>
    <w:rsid w:val="0E590AFF"/>
    <w:rsid w:val="0E651252"/>
    <w:rsid w:val="0E6809F9"/>
    <w:rsid w:val="0E6B438E"/>
    <w:rsid w:val="0E6F20D1"/>
    <w:rsid w:val="0E73034D"/>
    <w:rsid w:val="0E804F97"/>
    <w:rsid w:val="0E9B08A5"/>
    <w:rsid w:val="0E9C09EC"/>
    <w:rsid w:val="0EA10E27"/>
    <w:rsid w:val="0EB45D35"/>
    <w:rsid w:val="0EBB70C4"/>
    <w:rsid w:val="0ECD1A9D"/>
    <w:rsid w:val="0ED024B0"/>
    <w:rsid w:val="0ED32660"/>
    <w:rsid w:val="0EE04D7C"/>
    <w:rsid w:val="0EF820C6"/>
    <w:rsid w:val="0F0767AD"/>
    <w:rsid w:val="0F094370"/>
    <w:rsid w:val="0F13775A"/>
    <w:rsid w:val="0F16254C"/>
    <w:rsid w:val="0F2904D1"/>
    <w:rsid w:val="0F31382A"/>
    <w:rsid w:val="0F531EB0"/>
    <w:rsid w:val="0F535730"/>
    <w:rsid w:val="0F5F45FE"/>
    <w:rsid w:val="0F6239E3"/>
    <w:rsid w:val="0F6B0AEA"/>
    <w:rsid w:val="0F7603B1"/>
    <w:rsid w:val="0F76748F"/>
    <w:rsid w:val="0F825E34"/>
    <w:rsid w:val="0F854FCD"/>
    <w:rsid w:val="0F876B0D"/>
    <w:rsid w:val="0F9A112B"/>
    <w:rsid w:val="0FAB369D"/>
    <w:rsid w:val="0FC95811"/>
    <w:rsid w:val="0FD50659"/>
    <w:rsid w:val="0FDA6F04"/>
    <w:rsid w:val="0FDC366F"/>
    <w:rsid w:val="10207C26"/>
    <w:rsid w:val="102869DB"/>
    <w:rsid w:val="102C333C"/>
    <w:rsid w:val="10303AE2"/>
    <w:rsid w:val="10352EA6"/>
    <w:rsid w:val="10501A8E"/>
    <w:rsid w:val="10560F5C"/>
    <w:rsid w:val="105959C2"/>
    <w:rsid w:val="105F7F23"/>
    <w:rsid w:val="106577FF"/>
    <w:rsid w:val="106D2640"/>
    <w:rsid w:val="106D2F64"/>
    <w:rsid w:val="106D5A83"/>
    <w:rsid w:val="106F5737"/>
    <w:rsid w:val="107A20F5"/>
    <w:rsid w:val="107C2883"/>
    <w:rsid w:val="10806817"/>
    <w:rsid w:val="108F0808"/>
    <w:rsid w:val="109A0F5B"/>
    <w:rsid w:val="10A6213E"/>
    <w:rsid w:val="10A65097"/>
    <w:rsid w:val="10AE28AC"/>
    <w:rsid w:val="10B63710"/>
    <w:rsid w:val="10BC578F"/>
    <w:rsid w:val="10CE0EFA"/>
    <w:rsid w:val="10F10820"/>
    <w:rsid w:val="10F358AC"/>
    <w:rsid w:val="110F2AEF"/>
    <w:rsid w:val="11124F95"/>
    <w:rsid w:val="111C2F7A"/>
    <w:rsid w:val="113118BF"/>
    <w:rsid w:val="114F333B"/>
    <w:rsid w:val="11513D10"/>
    <w:rsid w:val="116060B9"/>
    <w:rsid w:val="11665CA1"/>
    <w:rsid w:val="117619C8"/>
    <w:rsid w:val="118507D1"/>
    <w:rsid w:val="11AA4B22"/>
    <w:rsid w:val="11AA66F5"/>
    <w:rsid w:val="11B81FE1"/>
    <w:rsid w:val="11B94401"/>
    <w:rsid w:val="11C10E95"/>
    <w:rsid w:val="11D0732A"/>
    <w:rsid w:val="11D84431"/>
    <w:rsid w:val="11EB466C"/>
    <w:rsid w:val="11F0177A"/>
    <w:rsid w:val="11F448D8"/>
    <w:rsid w:val="12154D3D"/>
    <w:rsid w:val="121C256F"/>
    <w:rsid w:val="12377EFD"/>
    <w:rsid w:val="124241B9"/>
    <w:rsid w:val="1251734D"/>
    <w:rsid w:val="125F245C"/>
    <w:rsid w:val="126F53B1"/>
    <w:rsid w:val="126F6B43"/>
    <w:rsid w:val="127B54E8"/>
    <w:rsid w:val="127D4118"/>
    <w:rsid w:val="1288618A"/>
    <w:rsid w:val="12887C05"/>
    <w:rsid w:val="129649E0"/>
    <w:rsid w:val="129906A9"/>
    <w:rsid w:val="129A3460"/>
    <w:rsid w:val="129B31AF"/>
    <w:rsid w:val="12A330B5"/>
    <w:rsid w:val="12C7072D"/>
    <w:rsid w:val="12E34E3B"/>
    <w:rsid w:val="12F369CC"/>
    <w:rsid w:val="12FE1529"/>
    <w:rsid w:val="130354DD"/>
    <w:rsid w:val="130D3C40"/>
    <w:rsid w:val="131C0463"/>
    <w:rsid w:val="132316DC"/>
    <w:rsid w:val="1332191F"/>
    <w:rsid w:val="13385187"/>
    <w:rsid w:val="133B4C77"/>
    <w:rsid w:val="133F61FB"/>
    <w:rsid w:val="13411EEC"/>
    <w:rsid w:val="1346119F"/>
    <w:rsid w:val="13497394"/>
    <w:rsid w:val="134E0FEB"/>
    <w:rsid w:val="135D4BEE"/>
    <w:rsid w:val="1371577D"/>
    <w:rsid w:val="13785584"/>
    <w:rsid w:val="1384217A"/>
    <w:rsid w:val="13866361"/>
    <w:rsid w:val="138C102F"/>
    <w:rsid w:val="13906A68"/>
    <w:rsid w:val="13951726"/>
    <w:rsid w:val="13AC1380"/>
    <w:rsid w:val="13C85229"/>
    <w:rsid w:val="13CE33F5"/>
    <w:rsid w:val="13D34EB0"/>
    <w:rsid w:val="141440C6"/>
    <w:rsid w:val="14294AD0"/>
    <w:rsid w:val="14363DC9"/>
    <w:rsid w:val="14396509"/>
    <w:rsid w:val="143F6101"/>
    <w:rsid w:val="14411E19"/>
    <w:rsid w:val="144B0EEA"/>
    <w:rsid w:val="14524026"/>
    <w:rsid w:val="145A112D"/>
    <w:rsid w:val="146721B7"/>
    <w:rsid w:val="147B230D"/>
    <w:rsid w:val="14883EEC"/>
    <w:rsid w:val="148E1C3D"/>
    <w:rsid w:val="14A64372"/>
    <w:rsid w:val="14AA3892"/>
    <w:rsid w:val="14BA7E1E"/>
    <w:rsid w:val="14DD2C3C"/>
    <w:rsid w:val="14DF5219"/>
    <w:rsid w:val="14E904B0"/>
    <w:rsid w:val="14F14B90"/>
    <w:rsid w:val="14F17EFA"/>
    <w:rsid w:val="15103236"/>
    <w:rsid w:val="15273705"/>
    <w:rsid w:val="153D61E9"/>
    <w:rsid w:val="154F4CBB"/>
    <w:rsid w:val="15511EAE"/>
    <w:rsid w:val="15514605"/>
    <w:rsid w:val="15543DCE"/>
    <w:rsid w:val="156D701E"/>
    <w:rsid w:val="159E5049"/>
    <w:rsid w:val="15A46B04"/>
    <w:rsid w:val="15B13177"/>
    <w:rsid w:val="15B50D11"/>
    <w:rsid w:val="15C1631A"/>
    <w:rsid w:val="15D46CBD"/>
    <w:rsid w:val="15DE18EA"/>
    <w:rsid w:val="16026A2A"/>
    <w:rsid w:val="16087E1D"/>
    <w:rsid w:val="16260CA4"/>
    <w:rsid w:val="162E2871"/>
    <w:rsid w:val="16331C36"/>
    <w:rsid w:val="163A1216"/>
    <w:rsid w:val="164953DE"/>
    <w:rsid w:val="164A5664"/>
    <w:rsid w:val="164A7928"/>
    <w:rsid w:val="16557DFE"/>
    <w:rsid w:val="16590D93"/>
    <w:rsid w:val="16606987"/>
    <w:rsid w:val="166149F5"/>
    <w:rsid w:val="166B4467"/>
    <w:rsid w:val="167D14CF"/>
    <w:rsid w:val="16885ED0"/>
    <w:rsid w:val="168E3310"/>
    <w:rsid w:val="169D567B"/>
    <w:rsid w:val="16A1617E"/>
    <w:rsid w:val="16AD678A"/>
    <w:rsid w:val="16B066BC"/>
    <w:rsid w:val="16BA6A0A"/>
    <w:rsid w:val="16BF1E6B"/>
    <w:rsid w:val="16C64858"/>
    <w:rsid w:val="16D231FD"/>
    <w:rsid w:val="16D50482"/>
    <w:rsid w:val="16D656F7"/>
    <w:rsid w:val="16D927DD"/>
    <w:rsid w:val="16D96AE6"/>
    <w:rsid w:val="16E54F71"/>
    <w:rsid w:val="16F70EB5"/>
    <w:rsid w:val="17155D86"/>
    <w:rsid w:val="171601A2"/>
    <w:rsid w:val="173A4A9B"/>
    <w:rsid w:val="175005C5"/>
    <w:rsid w:val="176D73C9"/>
    <w:rsid w:val="17701D14"/>
    <w:rsid w:val="17735226"/>
    <w:rsid w:val="17756E0B"/>
    <w:rsid w:val="178070FD"/>
    <w:rsid w:val="178174E0"/>
    <w:rsid w:val="178C784F"/>
    <w:rsid w:val="17982698"/>
    <w:rsid w:val="17985817"/>
    <w:rsid w:val="17AD77C6"/>
    <w:rsid w:val="17AE67F6"/>
    <w:rsid w:val="17B80644"/>
    <w:rsid w:val="17BD20FF"/>
    <w:rsid w:val="17C07E11"/>
    <w:rsid w:val="17C34EE7"/>
    <w:rsid w:val="17E0277E"/>
    <w:rsid w:val="18075128"/>
    <w:rsid w:val="1808436B"/>
    <w:rsid w:val="18095344"/>
    <w:rsid w:val="180A6EF8"/>
    <w:rsid w:val="181561D9"/>
    <w:rsid w:val="182E55FF"/>
    <w:rsid w:val="18300B23"/>
    <w:rsid w:val="1833006F"/>
    <w:rsid w:val="1837038F"/>
    <w:rsid w:val="183D0B4A"/>
    <w:rsid w:val="18441ED8"/>
    <w:rsid w:val="18463EA2"/>
    <w:rsid w:val="18492359"/>
    <w:rsid w:val="184E71FB"/>
    <w:rsid w:val="185C36C6"/>
    <w:rsid w:val="185C3AE0"/>
    <w:rsid w:val="185D1EEB"/>
    <w:rsid w:val="18710E80"/>
    <w:rsid w:val="18761A23"/>
    <w:rsid w:val="18784278"/>
    <w:rsid w:val="188E5849"/>
    <w:rsid w:val="188E6525"/>
    <w:rsid w:val="18980476"/>
    <w:rsid w:val="189967BF"/>
    <w:rsid w:val="189F624C"/>
    <w:rsid w:val="18B51EBE"/>
    <w:rsid w:val="18BC4164"/>
    <w:rsid w:val="18BE7B44"/>
    <w:rsid w:val="18C13529"/>
    <w:rsid w:val="18C94AD3"/>
    <w:rsid w:val="18D72D4C"/>
    <w:rsid w:val="18F57676"/>
    <w:rsid w:val="19001A9D"/>
    <w:rsid w:val="19091D2D"/>
    <w:rsid w:val="19143FA0"/>
    <w:rsid w:val="19151AC7"/>
    <w:rsid w:val="191A0D03"/>
    <w:rsid w:val="19383404"/>
    <w:rsid w:val="19526877"/>
    <w:rsid w:val="19593CDE"/>
    <w:rsid w:val="19600F94"/>
    <w:rsid w:val="196842EC"/>
    <w:rsid w:val="196F656D"/>
    <w:rsid w:val="198729C4"/>
    <w:rsid w:val="198A5390"/>
    <w:rsid w:val="1997072D"/>
    <w:rsid w:val="19A12CBE"/>
    <w:rsid w:val="19A30E80"/>
    <w:rsid w:val="19A370D2"/>
    <w:rsid w:val="19BB441C"/>
    <w:rsid w:val="19BC1F42"/>
    <w:rsid w:val="19C52D38"/>
    <w:rsid w:val="19D76D7C"/>
    <w:rsid w:val="19D96F98"/>
    <w:rsid w:val="19E120B3"/>
    <w:rsid w:val="19FB0CBC"/>
    <w:rsid w:val="1A0758B3"/>
    <w:rsid w:val="1A1C66C0"/>
    <w:rsid w:val="1A1F2BFD"/>
    <w:rsid w:val="1A226249"/>
    <w:rsid w:val="1A42393B"/>
    <w:rsid w:val="1A442548"/>
    <w:rsid w:val="1A501008"/>
    <w:rsid w:val="1A5B175B"/>
    <w:rsid w:val="1A725C61"/>
    <w:rsid w:val="1A78055F"/>
    <w:rsid w:val="1A7840BB"/>
    <w:rsid w:val="1A8567D8"/>
    <w:rsid w:val="1A867A22"/>
    <w:rsid w:val="1A8C25F7"/>
    <w:rsid w:val="1A8C400A"/>
    <w:rsid w:val="1AA43CB9"/>
    <w:rsid w:val="1AAD45DE"/>
    <w:rsid w:val="1AAD645B"/>
    <w:rsid w:val="1AB01AA7"/>
    <w:rsid w:val="1ACD4355"/>
    <w:rsid w:val="1AE05789"/>
    <w:rsid w:val="1AED6ECB"/>
    <w:rsid w:val="1AFA5418"/>
    <w:rsid w:val="1B046F80"/>
    <w:rsid w:val="1B26620D"/>
    <w:rsid w:val="1B3267B5"/>
    <w:rsid w:val="1B3F107D"/>
    <w:rsid w:val="1B40161D"/>
    <w:rsid w:val="1B441859"/>
    <w:rsid w:val="1B495729"/>
    <w:rsid w:val="1B636B19"/>
    <w:rsid w:val="1B6606B1"/>
    <w:rsid w:val="1B684130"/>
    <w:rsid w:val="1B7156DA"/>
    <w:rsid w:val="1B7B0307"/>
    <w:rsid w:val="1B7E160A"/>
    <w:rsid w:val="1B877CAA"/>
    <w:rsid w:val="1B950F86"/>
    <w:rsid w:val="1B966EEF"/>
    <w:rsid w:val="1BC32DE1"/>
    <w:rsid w:val="1BD410AC"/>
    <w:rsid w:val="1BD6553D"/>
    <w:rsid w:val="1BE37C5A"/>
    <w:rsid w:val="1BF142A3"/>
    <w:rsid w:val="1BF478A9"/>
    <w:rsid w:val="1BFC4FB0"/>
    <w:rsid w:val="1C032DB0"/>
    <w:rsid w:val="1C0A51E7"/>
    <w:rsid w:val="1C0C129D"/>
    <w:rsid w:val="1C0E117B"/>
    <w:rsid w:val="1C275D99"/>
    <w:rsid w:val="1C2B0A05"/>
    <w:rsid w:val="1C381D54"/>
    <w:rsid w:val="1C4833E9"/>
    <w:rsid w:val="1C4A5BA3"/>
    <w:rsid w:val="1C5E7925"/>
    <w:rsid w:val="1C920E9B"/>
    <w:rsid w:val="1CA44AD6"/>
    <w:rsid w:val="1CAC629E"/>
    <w:rsid w:val="1CCC06EE"/>
    <w:rsid w:val="1CD57563"/>
    <w:rsid w:val="1CD86382"/>
    <w:rsid w:val="1CE65C54"/>
    <w:rsid w:val="1CE74D75"/>
    <w:rsid w:val="1CF85987"/>
    <w:rsid w:val="1CFD070F"/>
    <w:rsid w:val="1D0165EA"/>
    <w:rsid w:val="1D0460DA"/>
    <w:rsid w:val="1D2504C0"/>
    <w:rsid w:val="1D3C273B"/>
    <w:rsid w:val="1D426966"/>
    <w:rsid w:val="1D45654B"/>
    <w:rsid w:val="1D552DD9"/>
    <w:rsid w:val="1D5A3F4C"/>
    <w:rsid w:val="1D5F6196"/>
    <w:rsid w:val="1D6132A5"/>
    <w:rsid w:val="1D62374A"/>
    <w:rsid w:val="1D880AB9"/>
    <w:rsid w:val="1D8E56D5"/>
    <w:rsid w:val="1D9962E4"/>
    <w:rsid w:val="1DBC69B5"/>
    <w:rsid w:val="1DC31E7E"/>
    <w:rsid w:val="1DE50DAA"/>
    <w:rsid w:val="1DED6B6E"/>
    <w:rsid w:val="1DF15300"/>
    <w:rsid w:val="1DF63C75"/>
    <w:rsid w:val="1E036392"/>
    <w:rsid w:val="1E066426"/>
    <w:rsid w:val="1E317B44"/>
    <w:rsid w:val="1E5906A7"/>
    <w:rsid w:val="1E6262F6"/>
    <w:rsid w:val="1E6E5F01"/>
    <w:rsid w:val="1E6F3A27"/>
    <w:rsid w:val="1E71154D"/>
    <w:rsid w:val="1E74103D"/>
    <w:rsid w:val="1E7667C4"/>
    <w:rsid w:val="1E7948A6"/>
    <w:rsid w:val="1E7A43DA"/>
    <w:rsid w:val="1E8474D2"/>
    <w:rsid w:val="1E8C6387"/>
    <w:rsid w:val="1EA90CE7"/>
    <w:rsid w:val="1EAA3E92"/>
    <w:rsid w:val="1EBD399D"/>
    <w:rsid w:val="1EC02FA4"/>
    <w:rsid w:val="1F043E0F"/>
    <w:rsid w:val="1F114ADE"/>
    <w:rsid w:val="1F1C595D"/>
    <w:rsid w:val="1F301408"/>
    <w:rsid w:val="1F345854"/>
    <w:rsid w:val="1F356A1F"/>
    <w:rsid w:val="1F3D293E"/>
    <w:rsid w:val="1F4159B7"/>
    <w:rsid w:val="1F5C56A6"/>
    <w:rsid w:val="1F5E3D65"/>
    <w:rsid w:val="1F7C1FA5"/>
    <w:rsid w:val="1F7C464D"/>
    <w:rsid w:val="1F7D3F22"/>
    <w:rsid w:val="1F8452B0"/>
    <w:rsid w:val="1FAA11BB"/>
    <w:rsid w:val="1FC87893"/>
    <w:rsid w:val="1FCB1131"/>
    <w:rsid w:val="1FDD07B3"/>
    <w:rsid w:val="1FE7539E"/>
    <w:rsid w:val="1FEA6C3D"/>
    <w:rsid w:val="1FED72F9"/>
    <w:rsid w:val="200C59D1"/>
    <w:rsid w:val="20196340"/>
    <w:rsid w:val="202C7E22"/>
    <w:rsid w:val="203155A4"/>
    <w:rsid w:val="20346CD6"/>
    <w:rsid w:val="204A02A8"/>
    <w:rsid w:val="20671BE0"/>
    <w:rsid w:val="20711CD8"/>
    <w:rsid w:val="20825C93"/>
    <w:rsid w:val="20842D5D"/>
    <w:rsid w:val="208E288A"/>
    <w:rsid w:val="20943C19"/>
    <w:rsid w:val="20963CB8"/>
    <w:rsid w:val="20A81A1B"/>
    <w:rsid w:val="20AB775B"/>
    <w:rsid w:val="20AD0837"/>
    <w:rsid w:val="20B07FB6"/>
    <w:rsid w:val="20B646FB"/>
    <w:rsid w:val="20BC079C"/>
    <w:rsid w:val="20BD6CCC"/>
    <w:rsid w:val="20D9162C"/>
    <w:rsid w:val="20D91653"/>
    <w:rsid w:val="20F4505A"/>
    <w:rsid w:val="21022930"/>
    <w:rsid w:val="210448FA"/>
    <w:rsid w:val="210466A8"/>
    <w:rsid w:val="21050673"/>
    <w:rsid w:val="21110FB0"/>
    <w:rsid w:val="213B74B1"/>
    <w:rsid w:val="214C5241"/>
    <w:rsid w:val="214C62A1"/>
    <w:rsid w:val="215A2310"/>
    <w:rsid w:val="215D225D"/>
    <w:rsid w:val="215D5254"/>
    <w:rsid w:val="21617EC2"/>
    <w:rsid w:val="21617F9F"/>
    <w:rsid w:val="218D7E9A"/>
    <w:rsid w:val="21A750C1"/>
    <w:rsid w:val="21AB121A"/>
    <w:rsid w:val="21AC5E36"/>
    <w:rsid w:val="21BB6861"/>
    <w:rsid w:val="21BF6A73"/>
    <w:rsid w:val="21DD4C64"/>
    <w:rsid w:val="21DE318A"/>
    <w:rsid w:val="21E169EA"/>
    <w:rsid w:val="21EF5B80"/>
    <w:rsid w:val="22043FA2"/>
    <w:rsid w:val="222565B5"/>
    <w:rsid w:val="222B51BB"/>
    <w:rsid w:val="224B1156"/>
    <w:rsid w:val="224B184E"/>
    <w:rsid w:val="224D26CF"/>
    <w:rsid w:val="225047E7"/>
    <w:rsid w:val="22574EFE"/>
    <w:rsid w:val="22576990"/>
    <w:rsid w:val="226338A3"/>
    <w:rsid w:val="22655D1C"/>
    <w:rsid w:val="22721D38"/>
    <w:rsid w:val="22833F45"/>
    <w:rsid w:val="22963C78"/>
    <w:rsid w:val="229C1743"/>
    <w:rsid w:val="22AA3280"/>
    <w:rsid w:val="22AF0896"/>
    <w:rsid w:val="22BA6296"/>
    <w:rsid w:val="22BD2BFB"/>
    <w:rsid w:val="22BD7457"/>
    <w:rsid w:val="22C5455D"/>
    <w:rsid w:val="22CC31F6"/>
    <w:rsid w:val="22CE3EC6"/>
    <w:rsid w:val="22D13EAF"/>
    <w:rsid w:val="22DB78DD"/>
    <w:rsid w:val="22EB33C1"/>
    <w:rsid w:val="22F06E95"/>
    <w:rsid w:val="22F47480"/>
    <w:rsid w:val="2310726E"/>
    <w:rsid w:val="232F25C0"/>
    <w:rsid w:val="23571659"/>
    <w:rsid w:val="23775858"/>
    <w:rsid w:val="239006C7"/>
    <w:rsid w:val="23902475"/>
    <w:rsid w:val="23957A8C"/>
    <w:rsid w:val="239C1496"/>
    <w:rsid w:val="23A14EBC"/>
    <w:rsid w:val="23AB5501"/>
    <w:rsid w:val="23BF0FAD"/>
    <w:rsid w:val="23C40371"/>
    <w:rsid w:val="23C87E61"/>
    <w:rsid w:val="23D12D39"/>
    <w:rsid w:val="23DE1C48"/>
    <w:rsid w:val="23E77C0A"/>
    <w:rsid w:val="23FE7B75"/>
    <w:rsid w:val="24003F9A"/>
    <w:rsid w:val="240210CD"/>
    <w:rsid w:val="2409047A"/>
    <w:rsid w:val="24101808"/>
    <w:rsid w:val="24286B52"/>
    <w:rsid w:val="2441528D"/>
    <w:rsid w:val="244B1B1F"/>
    <w:rsid w:val="245B6AAA"/>
    <w:rsid w:val="24637B8A"/>
    <w:rsid w:val="24731075"/>
    <w:rsid w:val="24763D61"/>
    <w:rsid w:val="24877D1C"/>
    <w:rsid w:val="248F4E23"/>
    <w:rsid w:val="24925CBD"/>
    <w:rsid w:val="24AB04CD"/>
    <w:rsid w:val="24AF5D4C"/>
    <w:rsid w:val="24BE74B6"/>
    <w:rsid w:val="24BF09F7"/>
    <w:rsid w:val="24CD6A78"/>
    <w:rsid w:val="24E52C95"/>
    <w:rsid w:val="24EB4117"/>
    <w:rsid w:val="24EF2AA9"/>
    <w:rsid w:val="24F00B4F"/>
    <w:rsid w:val="24F133E8"/>
    <w:rsid w:val="24FD7FDE"/>
    <w:rsid w:val="25072C0B"/>
    <w:rsid w:val="250A6257"/>
    <w:rsid w:val="251D242F"/>
    <w:rsid w:val="252949D9"/>
    <w:rsid w:val="252D53FE"/>
    <w:rsid w:val="25433472"/>
    <w:rsid w:val="254F08C6"/>
    <w:rsid w:val="25613EAC"/>
    <w:rsid w:val="256B5BB0"/>
    <w:rsid w:val="257218BD"/>
    <w:rsid w:val="258403C0"/>
    <w:rsid w:val="25973F8F"/>
    <w:rsid w:val="259A53E2"/>
    <w:rsid w:val="25A61150"/>
    <w:rsid w:val="25B11864"/>
    <w:rsid w:val="25B508B9"/>
    <w:rsid w:val="25BB0088"/>
    <w:rsid w:val="25C11569"/>
    <w:rsid w:val="25CE3729"/>
    <w:rsid w:val="25DD1420"/>
    <w:rsid w:val="25EC2D81"/>
    <w:rsid w:val="25F7199C"/>
    <w:rsid w:val="26013AFE"/>
    <w:rsid w:val="260E1D77"/>
    <w:rsid w:val="261849A4"/>
    <w:rsid w:val="261C37FA"/>
    <w:rsid w:val="26296BB1"/>
    <w:rsid w:val="262E41C8"/>
    <w:rsid w:val="263B7010"/>
    <w:rsid w:val="265B6B76"/>
    <w:rsid w:val="26627EAB"/>
    <w:rsid w:val="26667E05"/>
    <w:rsid w:val="267579FB"/>
    <w:rsid w:val="26A61FB0"/>
    <w:rsid w:val="26AD77E2"/>
    <w:rsid w:val="26B06E8C"/>
    <w:rsid w:val="26BF69CC"/>
    <w:rsid w:val="26DE799C"/>
    <w:rsid w:val="26E36588"/>
    <w:rsid w:val="271D48AB"/>
    <w:rsid w:val="27231678"/>
    <w:rsid w:val="274E4B21"/>
    <w:rsid w:val="27665953"/>
    <w:rsid w:val="276F6846"/>
    <w:rsid w:val="27702CEA"/>
    <w:rsid w:val="277057A2"/>
    <w:rsid w:val="27706BF2"/>
    <w:rsid w:val="278E316A"/>
    <w:rsid w:val="279D4F06"/>
    <w:rsid w:val="27AB7126"/>
    <w:rsid w:val="27B106F9"/>
    <w:rsid w:val="27B50D65"/>
    <w:rsid w:val="27C9373B"/>
    <w:rsid w:val="27D25752"/>
    <w:rsid w:val="27D30EC2"/>
    <w:rsid w:val="27DA4607"/>
    <w:rsid w:val="27DA63B5"/>
    <w:rsid w:val="27E2526A"/>
    <w:rsid w:val="27E47234"/>
    <w:rsid w:val="28001620"/>
    <w:rsid w:val="28083020"/>
    <w:rsid w:val="28221B0A"/>
    <w:rsid w:val="28237D5C"/>
    <w:rsid w:val="28333D17"/>
    <w:rsid w:val="283C7D9D"/>
    <w:rsid w:val="28456ABE"/>
    <w:rsid w:val="287263F8"/>
    <w:rsid w:val="287B7B98"/>
    <w:rsid w:val="287F6498"/>
    <w:rsid w:val="28862099"/>
    <w:rsid w:val="288F5AD7"/>
    <w:rsid w:val="28A27C17"/>
    <w:rsid w:val="28AB056F"/>
    <w:rsid w:val="28C606E7"/>
    <w:rsid w:val="28C64B8B"/>
    <w:rsid w:val="28C84615"/>
    <w:rsid w:val="28DA4193"/>
    <w:rsid w:val="28E026ED"/>
    <w:rsid w:val="28F17E5A"/>
    <w:rsid w:val="28FB65E3"/>
    <w:rsid w:val="29037B8D"/>
    <w:rsid w:val="2916264F"/>
    <w:rsid w:val="291D0C4F"/>
    <w:rsid w:val="29206EB8"/>
    <w:rsid w:val="292518B2"/>
    <w:rsid w:val="292A618D"/>
    <w:rsid w:val="292D1347"/>
    <w:rsid w:val="29320F6E"/>
    <w:rsid w:val="29413A4D"/>
    <w:rsid w:val="29595666"/>
    <w:rsid w:val="295E6B72"/>
    <w:rsid w:val="297D16EE"/>
    <w:rsid w:val="298715F6"/>
    <w:rsid w:val="29874881"/>
    <w:rsid w:val="298F4C3A"/>
    <w:rsid w:val="29B21156"/>
    <w:rsid w:val="29B72ED5"/>
    <w:rsid w:val="29BC0105"/>
    <w:rsid w:val="29C3221B"/>
    <w:rsid w:val="29C916E9"/>
    <w:rsid w:val="29D97CA1"/>
    <w:rsid w:val="29DC71A3"/>
    <w:rsid w:val="29E17ECF"/>
    <w:rsid w:val="29E325E0"/>
    <w:rsid w:val="29F23E8A"/>
    <w:rsid w:val="2A306760"/>
    <w:rsid w:val="2A3C5105"/>
    <w:rsid w:val="2A3F69A3"/>
    <w:rsid w:val="2A420D2D"/>
    <w:rsid w:val="2A422068"/>
    <w:rsid w:val="2A452503"/>
    <w:rsid w:val="2A467D32"/>
    <w:rsid w:val="2A4E4E38"/>
    <w:rsid w:val="2A4E5C47"/>
    <w:rsid w:val="2A7523C5"/>
    <w:rsid w:val="2A785209"/>
    <w:rsid w:val="2A954815"/>
    <w:rsid w:val="2A9A46E9"/>
    <w:rsid w:val="2AAF79CC"/>
    <w:rsid w:val="2AB90504"/>
    <w:rsid w:val="2B057BED"/>
    <w:rsid w:val="2B0674C1"/>
    <w:rsid w:val="2B215F39"/>
    <w:rsid w:val="2B22341D"/>
    <w:rsid w:val="2B2C517A"/>
    <w:rsid w:val="2B2D0EF2"/>
    <w:rsid w:val="2B312790"/>
    <w:rsid w:val="2B3719C5"/>
    <w:rsid w:val="2B3C1135"/>
    <w:rsid w:val="2B3C4563"/>
    <w:rsid w:val="2B42499D"/>
    <w:rsid w:val="2B496A2D"/>
    <w:rsid w:val="2B4A5600"/>
    <w:rsid w:val="2B5244B4"/>
    <w:rsid w:val="2B62521D"/>
    <w:rsid w:val="2B681F2A"/>
    <w:rsid w:val="2B6A7A50"/>
    <w:rsid w:val="2B733BFA"/>
    <w:rsid w:val="2B764647"/>
    <w:rsid w:val="2B797FD5"/>
    <w:rsid w:val="2B8723B0"/>
    <w:rsid w:val="2B8E1990"/>
    <w:rsid w:val="2B94641F"/>
    <w:rsid w:val="2BA72DA3"/>
    <w:rsid w:val="2BA936A8"/>
    <w:rsid w:val="2BAB0479"/>
    <w:rsid w:val="2BB46F1D"/>
    <w:rsid w:val="2BE530C8"/>
    <w:rsid w:val="2BFF468C"/>
    <w:rsid w:val="2C047236"/>
    <w:rsid w:val="2C0A350E"/>
    <w:rsid w:val="2C0D087E"/>
    <w:rsid w:val="2C1B6F9C"/>
    <w:rsid w:val="2C241AC1"/>
    <w:rsid w:val="2C315A5A"/>
    <w:rsid w:val="2C382EF8"/>
    <w:rsid w:val="2C471B3F"/>
    <w:rsid w:val="2C4B1C25"/>
    <w:rsid w:val="2C4F7710"/>
    <w:rsid w:val="2C576226"/>
    <w:rsid w:val="2C584F53"/>
    <w:rsid w:val="2C6170A5"/>
    <w:rsid w:val="2C646BB5"/>
    <w:rsid w:val="2C7D17B3"/>
    <w:rsid w:val="2C8965FC"/>
    <w:rsid w:val="2C907D5B"/>
    <w:rsid w:val="2CA15BAC"/>
    <w:rsid w:val="2CA3146B"/>
    <w:rsid w:val="2CC74E56"/>
    <w:rsid w:val="2CC77ADA"/>
    <w:rsid w:val="2CD80972"/>
    <w:rsid w:val="2CDF0814"/>
    <w:rsid w:val="2D047A30"/>
    <w:rsid w:val="2D0F6B01"/>
    <w:rsid w:val="2D2B1461"/>
    <w:rsid w:val="2D371BB4"/>
    <w:rsid w:val="2D410C84"/>
    <w:rsid w:val="2D482013"/>
    <w:rsid w:val="2D54598E"/>
    <w:rsid w:val="2D6329A9"/>
    <w:rsid w:val="2D6A01DB"/>
    <w:rsid w:val="2D6D3827"/>
    <w:rsid w:val="2D7822FD"/>
    <w:rsid w:val="2D8D306A"/>
    <w:rsid w:val="2D962D7E"/>
    <w:rsid w:val="2D9E56F5"/>
    <w:rsid w:val="2DA01E4F"/>
    <w:rsid w:val="2DA57465"/>
    <w:rsid w:val="2DA63E50"/>
    <w:rsid w:val="2DD429FD"/>
    <w:rsid w:val="2DD90EBD"/>
    <w:rsid w:val="2DDD3FC1"/>
    <w:rsid w:val="2DEB702A"/>
    <w:rsid w:val="2DFE26D1"/>
    <w:rsid w:val="2E11050D"/>
    <w:rsid w:val="2E141EF5"/>
    <w:rsid w:val="2E1628D7"/>
    <w:rsid w:val="2E241400"/>
    <w:rsid w:val="2E2959A0"/>
    <w:rsid w:val="2E56250D"/>
    <w:rsid w:val="2E667F96"/>
    <w:rsid w:val="2E6828E8"/>
    <w:rsid w:val="2E7806D6"/>
    <w:rsid w:val="2E8226AB"/>
    <w:rsid w:val="2EAD54EC"/>
    <w:rsid w:val="2ECB4055"/>
    <w:rsid w:val="2EEE710D"/>
    <w:rsid w:val="2EFB6E53"/>
    <w:rsid w:val="2F0D52C2"/>
    <w:rsid w:val="2F1228D8"/>
    <w:rsid w:val="2F123F97"/>
    <w:rsid w:val="2F410405"/>
    <w:rsid w:val="2F4607D4"/>
    <w:rsid w:val="2F633134"/>
    <w:rsid w:val="2F6E7C8B"/>
    <w:rsid w:val="2F77256D"/>
    <w:rsid w:val="2F7D2448"/>
    <w:rsid w:val="2F947791"/>
    <w:rsid w:val="2F9506C7"/>
    <w:rsid w:val="2FB15C4D"/>
    <w:rsid w:val="2FB27C17"/>
    <w:rsid w:val="2FD065E6"/>
    <w:rsid w:val="2FD322EF"/>
    <w:rsid w:val="2FD96870"/>
    <w:rsid w:val="2FE801F3"/>
    <w:rsid w:val="30021FA5"/>
    <w:rsid w:val="3016212E"/>
    <w:rsid w:val="3037214F"/>
    <w:rsid w:val="30421B16"/>
    <w:rsid w:val="30580BC9"/>
    <w:rsid w:val="307B625B"/>
    <w:rsid w:val="30803872"/>
    <w:rsid w:val="309612E7"/>
    <w:rsid w:val="309B06AC"/>
    <w:rsid w:val="309D61D2"/>
    <w:rsid w:val="30AB4F67"/>
    <w:rsid w:val="30CD2F5B"/>
    <w:rsid w:val="30DD2A72"/>
    <w:rsid w:val="30DE08DF"/>
    <w:rsid w:val="30EE2ED1"/>
    <w:rsid w:val="311A6DF9"/>
    <w:rsid w:val="311E2ED7"/>
    <w:rsid w:val="31224929"/>
    <w:rsid w:val="31386D47"/>
    <w:rsid w:val="313951EF"/>
    <w:rsid w:val="314128F3"/>
    <w:rsid w:val="31466869"/>
    <w:rsid w:val="315619EE"/>
    <w:rsid w:val="315A745C"/>
    <w:rsid w:val="315C449C"/>
    <w:rsid w:val="31627781"/>
    <w:rsid w:val="31670199"/>
    <w:rsid w:val="31896043"/>
    <w:rsid w:val="318F6E32"/>
    <w:rsid w:val="31923AAE"/>
    <w:rsid w:val="31AA23AC"/>
    <w:rsid w:val="31B82709"/>
    <w:rsid w:val="31D05482"/>
    <w:rsid w:val="31D578B9"/>
    <w:rsid w:val="31D73965"/>
    <w:rsid w:val="31DB583A"/>
    <w:rsid w:val="31E56082"/>
    <w:rsid w:val="31F44517"/>
    <w:rsid w:val="31F664E1"/>
    <w:rsid w:val="31F91B2E"/>
    <w:rsid w:val="320D7387"/>
    <w:rsid w:val="320E1C4F"/>
    <w:rsid w:val="32207FA4"/>
    <w:rsid w:val="32400B34"/>
    <w:rsid w:val="32676A97"/>
    <w:rsid w:val="326F3B9E"/>
    <w:rsid w:val="326F70C2"/>
    <w:rsid w:val="32870707"/>
    <w:rsid w:val="329C7EC6"/>
    <w:rsid w:val="329E6876"/>
    <w:rsid w:val="32A001FB"/>
    <w:rsid w:val="32A41A99"/>
    <w:rsid w:val="32CC2D9E"/>
    <w:rsid w:val="32CE2FBA"/>
    <w:rsid w:val="32CE6DAC"/>
    <w:rsid w:val="32D0288E"/>
    <w:rsid w:val="32D37E41"/>
    <w:rsid w:val="32DC56D7"/>
    <w:rsid w:val="32EA4269"/>
    <w:rsid w:val="33060643"/>
    <w:rsid w:val="33152997"/>
    <w:rsid w:val="331533CF"/>
    <w:rsid w:val="33211791"/>
    <w:rsid w:val="332D7CE1"/>
    <w:rsid w:val="332E1CAB"/>
    <w:rsid w:val="333015F2"/>
    <w:rsid w:val="334B6320"/>
    <w:rsid w:val="33727DEA"/>
    <w:rsid w:val="337E34C7"/>
    <w:rsid w:val="3390201E"/>
    <w:rsid w:val="33973635"/>
    <w:rsid w:val="339935C8"/>
    <w:rsid w:val="33BA709B"/>
    <w:rsid w:val="33C22CE8"/>
    <w:rsid w:val="33D934D4"/>
    <w:rsid w:val="33DF6B01"/>
    <w:rsid w:val="33E86E49"/>
    <w:rsid w:val="33EC194A"/>
    <w:rsid w:val="33EF4F96"/>
    <w:rsid w:val="33F374F1"/>
    <w:rsid w:val="33F67832"/>
    <w:rsid w:val="33FE2F6A"/>
    <w:rsid w:val="340E07E5"/>
    <w:rsid w:val="341755CE"/>
    <w:rsid w:val="341D3ABD"/>
    <w:rsid w:val="341F1AE9"/>
    <w:rsid w:val="34235BF7"/>
    <w:rsid w:val="342804A8"/>
    <w:rsid w:val="34362BC5"/>
    <w:rsid w:val="34441786"/>
    <w:rsid w:val="34495F2D"/>
    <w:rsid w:val="344D6161"/>
    <w:rsid w:val="345E036E"/>
    <w:rsid w:val="34657983"/>
    <w:rsid w:val="347340A8"/>
    <w:rsid w:val="34884FD5"/>
    <w:rsid w:val="34B23D21"/>
    <w:rsid w:val="34CA4F44"/>
    <w:rsid w:val="34D95A2F"/>
    <w:rsid w:val="34E316B2"/>
    <w:rsid w:val="34E73EBF"/>
    <w:rsid w:val="34EB7E53"/>
    <w:rsid w:val="34FD5282"/>
    <w:rsid w:val="350C1B78"/>
    <w:rsid w:val="35533053"/>
    <w:rsid w:val="35551771"/>
    <w:rsid w:val="356D6C4D"/>
    <w:rsid w:val="3578720D"/>
    <w:rsid w:val="35814314"/>
    <w:rsid w:val="358C5FA8"/>
    <w:rsid w:val="359C2EFC"/>
    <w:rsid w:val="35A468E8"/>
    <w:rsid w:val="35B069A7"/>
    <w:rsid w:val="35C15DF1"/>
    <w:rsid w:val="35CE2F97"/>
    <w:rsid w:val="35DB0651"/>
    <w:rsid w:val="35F27884"/>
    <w:rsid w:val="35FF348B"/>
    <w:rsid w:val="36074A7F"/>
    <w:rsid w:val="360E4726"/>
    <w:rsid w:val="36176A26"/>
    <w:rsid w:val="36217932"/>
    <w:rsid w:val="3628478F"/>
    <w:rsid w:val="362B16D5"/>
    <w:rsid w:val="36344EA8"/>
    <w:rsid w:val="36407D2B"/>
    <w:rsid w:val="36442977"/>
    <w:rsid w:val="36537489"/>
    <w:rsid w:val="365E0002"/>
    <w:rsid w:val="36624145"/>
    <w:rsid w:val="36653456"/>
    <w:rsid w:val="366854D4"/>
    <w:rsid w:val="366A2FFA"/>
    <w:rsid w:val="366A4DA8"/>
    <w:rsid w:val="367D236E"/>
    <w:rsid w:val="36841C9D"/>
    <w:rsid w:val="368F0CB2"/>
    <w:rsid w:val="36923549"/>
    <w:rsid w:val="36B75FBF"/>
    <w:rsid w:val="36BA7B0B"/>
    <w:rsid w:val="36BD0C45"/>
    <w:rsid w:val="36C56482"/>
    <w:rsid w:val="36D153F7"/>
    <w:rsid w:val="36E25286"/>
    <w:rsid w:val="37016B5B"/>
    <w:rsid w:val="37225683"/>
    <w:rsid w:val="37353608"/>
    <w:rsid w:val="37476E97"/>
    <w:rsid w:val="37661A13"/>
    <w:rsid w:val="376B0DD8"/>
    <w:rsid w:val="376F3581"/>
    <w:rsid w:val="376F3EDE"/>
    <w:rsid w:val="37715EA1"/>
    <w:rsid w:val="377C2FE5"/>
    <w:rsid w:val="37826121"/>
    <w:rsid w:val="37863E63"/>
    <w:rsid w:val="378679C0"/>
    <w:rsid w:val="37A34A15"/>
    <w:rsid w:val="37AE6F16"/>
    <w:rsid w:val="37BB3C4C"/>
    <w:rsid w:val="37BE2D67"/>
    <w:rsid w:val="37C52C84"/>
    <w:rsid w:val="37CF2144"/>
    <w:rsid w:val="37D56B99"/>
    <w:rsid w:val="37E00298"/>
    <w:rsid w:val="37F012DD"/>
    <w:rsid w:val="37F05781"/>
    <w:rsid w:val="381979D3"/>
    <w:rsid w:val="381E22EE"/>
    <w:rsid w:val="382316B2"/>
    <w:rsid w:val="383733B0"/>
    <w:rsid w:val="386473A8"/>
    <w:rsid w:val="38774F2B"/>
    <w:rsid w:val="387A6840"/>
    <w:rsid w:val="388434EC"/>
    <w:rsid w:val="388A1A00"/>
    <w:rsid w:val="3893330B"/>
    <w:rsid w:val="389B56ED"/>
    <w:rsid w:val="38AA3B82"/>
    <w:rsid w:val="38B302F9"/>
    <w:rsid w:val="38BB5D8F"/>
    <w:rsid w:val="38BF4C2B"/>
    <w:rsid w:val="38C033A5"/>
    <w:rsid w:val="38E166C5"/>
    <w:rsid w:val="38EE1CC0"/>
    <w:rsid w:val="38F02E41"/>
    <w:rsid w:val="38F12CD3"/>
    <w:rsid w:val="38F60B75"/>
    <w:rsid w:val="38F94775"/>
    <w:rsid w:val="38F95346"/>
    <w:rsid w:val="38FD1F03"/>
    <w:rsid w:val="390176F7"/>
    <w:rsid w:val="39050DB8"/>
    <w:rsid w:val="39227BBC"/>
    <w:rsid w:val="39231F39"/>
    <w:rsid w:val="392576AC"/>
    <w:rsid w:val="39290F4A"/>
    <w:rsid w:val="392971ED"/>
    <w:rsid w:val="392E030F"/>
    <w:rsid w:val="39325651"/>
    <w:rsid w:val="3942200C"/>
    <w:rsid w:val="394C2E8B"/>
    <w:rsid w:val="39656E36"/>
    <w:rsid w:val="396A57A6"/>
    <w:rsid w:val="398E5251"/>
    <w:rsid w:val="39BA7DF4"/>
    <w:rsid w:val="39F95ACD"/>
    <w:rsid w:val="3A0A50CD"/>
    <w:rsid w:val="3A151191"/>
    <w:rsid w:val="3A1D26AE"/>
    <w:rsid w:val="3A1D3BAE"/>
    <w:rsid w:val="3A3C2633"/>
    <w:rsid w:val="3A3F7562"/>
    <w:rsid w:val="3A4243F4"/>
    <w:rsid w:val="3A5E2E76"/>
    <w:rsid w:val="3A7731CF"/>
    <w:rsid w:val="3A872856"/>
    <w:rsid w:val="3A8F2FEC"/>
    <w:rsid w:val="3A970136"/>
    <w:rsid w:val="3AA8118E"/>
    <w:rsid w:val="3ABC64C3"/>
    <w:rsid w:val="3AD13648"/>
    <w:rsid w:val="3AE07F36"/>
    <w:rsid w:val="3B051543"/>
    <w:rsid w:val="3B0D197D"/>
    <w:rsid w:val="3B0E03F8"/>
    <w:rsid w:val="3B133C60"/>
    <w:rsid w:val="3B183024"/>
    <w:rsid w:val="3B3763D1"/>
    <w:rsid w:val="3B7A5A8D"/>
    <w:rsid w:val="3B7D6FA7"/>
    <w:rsid w:val="3B9B1226"/>
    <w:rsid w:val="3BAA122E"/>
    <w:rsid w:val="3BB90DDF"/>
    <w:rsid w:val="3BC073FC"/>
    <w:rsid w:val="3BC629E0"/>
    <w:rsid w:val="3BC767F9"/>
    <w:rsid w:val="3BD57167"/>
    <w:rsid w:val="3BE9676F"/>
    <w:rsid w:val="3C074E47"/>
    <w:rsid w:val="3C0F161C"/>
    <w:rsid w:val="3C110DE0"/>
    <w:rsid w:val="3C163D2E"/>
    <w:rsid w:val="3C2C095F"/>
    <w:rsid w:val="3C2F6E1E"/>
    <w:rsid w:val="3C352615"/>
    <w:rsid w:val="3C3A346E"/>
    <w:rsid w:val="3C487939"/>
    <w:rsid w:val="3C4F64BA"/>
    <w:rsid w:val="3C6101A4"/>
    <w:rsid w:val="3C634773"/>
    <w:rsid w:val="3C69104F"/>
    <w:rsid w:val="3CA8662A"/>
    <w:rsid w:val="3CAD2B7D"/>
    <w:rsid w:val="3CB939B5"/>
    <w:rsid w:val="3CBB0E0C"/>
    <w:rsid w:val="3CD76F0F"/>
    <w:rsid w:val="3CDA245A"/>
    <w:rsid w:val="3CE358B4"/>
    <w:rsid w:val="3CE82ECA"/>
    <w:rsid w:val="3CF03B2D"/>
    <w:rsid w:val="3CF90C34"/>
    <w:rsid w:val="3CFC24D2"/>
    <w:rsid w:val="3CFC4540"/>
    <w:rsid w:val="3D1E06B7"/>
    <w:rsid w:val="3D257C7B"/>
    <w:rsid w:val="3D3539C0"/>
    <w:rsid w:val="3D491BBB"/>
    <w:rsid w:val="3D5234CB"/>
    <w:rsid w:val="3D5440BC"/>
    <w:rsid w:val="3D55293D"/>
    <w:rsid w:val="3D591705"/>
    <w:rsid w:val="3D6A1DD7"/>
    <w:rsid w:val="3D712EC0"/>
    <w:rsid w:val="3D75621E"/>
    <w:rsid w:val="3D85696B"/>
    <w:rsid w:val="3D8C47B0"/>
    <w:rsid w:val="3DA40983"/>
    <w:rsid w:val="3DB179DF"/>
    <w:rsid w:val="3DB54DD9"/>
    <w:rsid w:val="3DCF679E"/>
    <w:rsid w:val="3DDD2303"/>
    <w:rsid w:val="3DFE0BF8"/>
    <w:rsid w:val="3E0D342E"/>
    <w:rsid w:val="3E171CB9"/>
    <w:rsid w:val="3E495293"/>
    <w:rsid w:val="3E5F5FE8"/>
    <w:rsid w:val="3E665F76"/>
    <w:rsid w:val="3E6A2A38"/>
    <w:rsid w:val="3E7762B4"/>
    <w:rsid w:val="3EA42E21"/>
    <w:rsid w:val="3EA55BAC"/>
    <w:rsid w:val="3EB56AD2"/>
    <w:rsid w:val="3EC15D4E"/>
    <w:rsid w:val="3EC34805"/>
    <w:rsid w:val="3ECE409C"/>
    <w:rsid w:val="3ED43706"/>
    <w:rsid w:val="3ED92ACB"/>
    <w:rsid w:val="3EDA0523"/>
    <w:rsid w:val="3EF47905"/>
    <w:rsid w:val="3EF75647"/>
    <w:rsid w:val="3F11495A"/>
    <w:rsid w:val="3F147FA7"/>
    <w:rsid w:val="3F1B741F"/>
    <w:rsid w:val="3F253F62"/>
    <w:rsid w:val="3F3354A7"/>
    <w:rsid w:val="3F3441A5"/>
    <w:rsid w:val="3F3C12AC"/>
    <w:rsid w:val="3F4425A2"/>
    <w:rsid w:val="3F5E1222"/>
    <w:rsid w:val="3F60143E"/>
    <w:rsid w:val="3F603B20"/>
    <w:rsid w:val="3F6E2620"/>
    <w:rsid w:val="3F740A45"/>
    <w:rsid w:val="3F7E3672"/>
    <w:rsid w:val="3F890995"/>
    <w:rsid w:val="3F9D61EE"/>
    <w:rsid w:val="3F9D7242"/>
    <w:rsid w:val="3FA56E51"/>
    <w:rsid w:val="3FAE2FC0"/>
    <w:rsid w:val="3FB84DD6"/>
    <w:rsid w:val="3FCC6D59"/>
    <w:rsid w:val="3FD249E5"/>
    <w:rsid w:val="3FEE6BFE"/>
    <w:rsid w:val="3FFE32D6"/>
    <w:rsid w:val="400973E0"/>
    <w:rsid w:val="4011165D"/>
    <w:rsid w:val="40181D19"/>
    <w:rsid w:val="401C2B28"/>
    <w:rsid w:val="402469A1"/>
    <w:rsid w:val="403501D5"/>
    <w:rsid w:val="40381A73"/>
    <w:rsid w:val="403D52DB"/>
    <w:rsid w:val="40491D46"/>
    <w:rsid w:val="405368AD"/>
    <w:rsid w:val="405F16F6"/>
    <w:rsid w:val="40720CC9"/>
    <w:rsid w:val="407A6407"/>
    <w:rsid w:val="408467AF"/>
    <w:rsid w:val="40952AB4"/>
    <w:rsid w:val="40984D90"/>
    <w:rsid w:val="409E3FCC"/>
    <w:rsid w:val="40A610D2"/>
    <w:rsid w:val="40BA6F59"/>
    <w:rsid w:val="40D43602"/>
    <w:rsid w:val="40E045E4"/>
    <w:rsid w:val="40EB2F89"/>
    <w:rsid w:val="41067DC3"/>
    <w:rsid w:val="411E04AF"/>
    <w:rsid w:val="411E4B50"/>
    <w:rsid w:val="41275ACC"/>
    <w:rsid w:val="41285F8B"/>
    <w:rsid w:val="414B08D8"/>
    <w:rsid w:val="414F176A"/>
    <w:rsid w:val="41540B2E"/>
    <w:rsid w:val="415A3B99"/>
    <w:rsid w:val="41656898"/>
    <w:rsid w:val="417D3AFD"/>
    <w:rsid w:val="41923405"/>
    <w:rsid w:val="419235EB"/>
    <w:rsid w:val="41A53138"/>
    <w:rsid w:val="41AE6491"/>
    <w:rsid w:val="41C37A62"/>
    <w:rsid w:val="41C41A95"/>
    <w:rsid w:val="41D45583"/>
    <w:rsid w:val="41EA4FEF"/>
    <w:rsid w:val="4200449D"/>
    <w:rsid w:val="420B38E3"/>
    <w:rsid w:val="42162288"/>
    <w:rsid w:val="422D4C04"/>
    <w:rsid w:val="42360234"/>
    <w:rsid w:val="423A3BCC"/>
    <w:rsid w:val="424E57D2"/>
    <w:rsid w:val="426B25D4"/>
    <w:rsid w:val="42756FAE"/>
    <w:rsid w:val="42786A9F"/>
    <w:rsid w:val="42903DE8"/>
    <w:rsid w:val="4298417C"/>
    <w:rsid w:val="42994958"/>
    <w:rsid w:val="42B26C49"/>
    <w:rsid w:val="42E50B76"/>
    <w:rsid w:val="43144A19"/>
    <w:rsid w:val="43195B8C"/>
    <w:rsid w:val="431D7B20"/>
    <w:rsid w:val="431E13F4"/>
    <w:rsid w:val="43301127"/>
    <w:rsid w:val="433A6FE6"/>
    <w:rsid w:val="43480868"/>
    <w:rsid w:val="434D6E78"/>
    <w:rsid w:val="43505326"/>
    <w:rsid w:val="4350713C"/>
    <w:rsid w:val="43664B49"/>
    <w:rsid w:val="436653E0"/>
    <w:rsid w:val="4374370A"/>
    <w:rsid w:val="437454B8"/>
    <w:rsid w:val="43762FDE"/>
    <w:rsid w:val="43B34232"/>
    <w:rsid w:val="43C4431A"/>
    <w:rsid w:val="43DE66AE"/>
    <w:rsid w:val="43EE04C7"/>
    <w:rsid w:val="43F202D8"/>
    <w:rsid w:val="44004F9E"/>
    <w:rsid w:val="440E0B44"/>
    <w:rsid w:val="441F3676"/>
    <w:rsid w:val="44552246"/>
    <w:rsid w:val="445F1CC4"/>
    <w:rsid w:val="44705C7F"/>
    <w:rsid w:val="447C2876"/>
    <w:rsid w:val="447D7868"/>
    <w:rsid w:val="44B951CC"/>
    <w:rsid w:val="44C361AF"/>
    <w:rsid w:val="44CD14E0"/>
    <w:rsid w:val="44DA134B"/>
    <w:rsid w:val="44F20B0B"/>
    <w:rsid w:val="44F72E61"/>
    <w:rsid w:val="45014B29"/>
    <w:rsid w:val="450846E5"/>
    <w:rsid w:val="451C1A58"/>
    <w:rsid w:val="452E5F4C"/>
    <w:rsid w:val="4530540F"/>
    <w:rsid w:val="45372C41"/>
    <w:rsid w:val="4550785F"/>
    <w:rsid w:val="455B692F"/>
    <w:rsid w:val="455C4456"/>
    <w:rsid w:val="455D7551"/>
    <w:rsid w:val="45611A6C"/>
    <w:rsid w:val="45612018"/>
    <w:rsid w:val="457E7663"/>
    <w:rsid w:val="458946E9"/>
    <w:rsid w:val="458A4B1F"/>
    <w:rsid w:val="459736E0"/>
    <w:rsid w:val="459E4A6E"/>
    <w:rsid w:val="45A100BA"/>
    <w:rsid w:val="45A47C0E"/>
    <w:rsid w:val="45D64624"/>
    <w:rsid w:val="45D76E6A"/>
    <w:rsid w:val="45E86563"/>
    <w:rsid w:val="45FC5E92"/>
    <w:rsid w:val="46145D72"/>
    <w:rsid w:val="461865CE"/>
    <w:rsid w:val="46277CE2"/>
    <w:rsid w:val="462E4D32"/>
    <w:rsid w:val="463F1DAD"/>
    <w:rsid w:val="464C6DBD"/>
    <w:rsid w:val="464E0242"/>
    <w:rsid w:val="464E3D9E"/>
    <w:rsid w:val="46577392"/>
    <w:rsid w:val="46577FD6"/>
    <w:rsid w:val="46770575"/>
    <w:rsid w:val="46785654"/>
    <w:rsid w:val="468974CC"/>
    <w:rsid w:val="468B5AEE"/>
    <w:rsid w:val="46A165C4"/>
    <w:rsid w:val="46A301FD"/>
    <w:rsid w:val="46B67B95"/>
    <w:rsid w:val="46B75DE7"/>
    <w:rsid w:val="46B81B60"/>
    <w:rsid w:val="46C44060"/>
    <w:rsid w:val="46CC3229"/>
    <w:rsid w:val="46D22C21"/>
    <w:rsid w:val="46D324F5"/>
    <w:rsid w:val="46D955A7"/>
    <w:rsid w:val="46DF533E"/>
    <w:rsid w:val="46EB783F"/>
    <w:rsid w:val="470E1780"/>
    <w:rsid w:val="47133957"/>
    <w:rsid w:val="47176886"/>
    <w:rsid w:val="47240FA3"/>
    <w:rsid w:val="472A68FD"/>
    <w:rsid w:val="4732546E"/>
    <w:rsid w:val="475353E4"/>
    <w:rsid w:val="475A2C17"/>
    <w:rsid w:val="475E6263"/>
    <w:rsid w:val="476D25D3"/>
    <w:rsid w:val="47706655"/>
    <w:rsid w:val="477A0BC3"/>
    <w:rsid w:val="477F61D9"/>
    <w:rsid w:val="478D6B48"/>
    <w:rsid w:val="479C6D8B"/>
    <w:rsid w:val="47A07E0C"/>
    <w:rsid w:val="47A47CFA"/>
    <w:rsid w:val="47AD0F98"/>
    <w:rsid w:val="47C37457"/>
    <w:rsid w:val="47DA7AA0"/>
    <w:rsid w:val="47DB3D58"/>
    <w:rsid w:val="47F44E19"/>
    <w:rsid w:val="47F81D88"/>
    <w:rsid w:val="48054931"/>
    <w:rsid w:val="48124F71"/>
    <w:rsid w:val="48200DA0"/>
    <w:rsid w:val="48243B68"/>
    <w:rsid w:val="485321E0"/>
    <w:rsid w:val="48684EBF"/>
    <w:rsid w:val="486C5F17"/>
    <w:rsid w:val="4870272E"/>
    <w:rsid w:val="489839F7"/>
    <w:rsid w:val="48A4239B"/>
    <w:rsid w:val="48BF2D31"/>
    <w:rsid w:val="48DD58AD"/>
    <w:rsid w:val="490746D8"/>
    <w:rsid w:val="49226E97"/>
    <w:rsid w:val="49583186"/>
    <w:rsid w:val="49667651"/>
    <w:rsid w:val="49690EEF"/>
    <w:rsid w:val="496E6198"/>
    <w:rsid w:val="497B6BF6"/>
    <w:rsid w:val="49805323"/>
    <w:rsid w:val="49AC5A24"/>
    <w:rsid w:val="49AF724A"/>
    <w:rsid w:val="49B20472"/>
    <w:rsid w:val="49B30539"/>
    <w:rsid w:val="49B74350"/>
    <w:rsid w:val="49BC1DF6"/>
    <w:rsid w:val="49C01457"/>
    <w:rsid w:val="49DC7715"/>
    <w:rsid w:val="49DE4211"/>
    <w:rsid w:val="49DF091C"/>
    <w:rsid w:val="4A023139"/>
    <w:rsid w:val="4A1277D9"/>
    <w:rsid w:val="4A1B48DF"/>
    <w:rsid w:val="4A361712"/>
    <w:rsid w:val="4A421E6C"/>
    <w:rsid w:val="4A4C4A2C"/>
    <w:rsid w:val="4A541B9F"/>
    <w:rsid w:val="4A56258C"/>
    <w:rsid w:val="4A576E9A"/>
    <w:rsid w:val="4A5A1A5B"/>
    <w:rsid w:val="4A653FAE"/>
    <w:rsid w:val="4A7933B4"/>
    <w:rsid w:val="4A7B576F"/>
    <w:rsid w:val="4A7C52D1"/>
    <w:rsid w:val="4A836D3F"/>
    <w:rsid w:val="4A8C3685"/>
    <w:rsid w:val="4AB400A7"/>
    <w:rsid w:val="4ACC7988"/>
    <w:rsid w:val="4AF561A9"/>
    <w:rsid w:val="4AFC342A"/>
    <w:rsid w:val="4AFF1B0B"/>
    <w:rsid w:val="4B044C48"/>
    <w:rsid w:val="4B09298A"/>
    <w:rsid w:val="4B166E55"/>
    <w:rsid w:val="4B223A4B"/>
    <w:rsid w:val="4B315A3D"/>
    <w:rsid w:val="4B342AAB"/>
    <w:rsid w:val="4B426B3A"/>
    <w:rsid w:val="4B5C6F5D"/>
    <w:rsid w:val="4B7C315C"/>
    <w:rsid w:val="4B867A5E"/>
    <w:rsid w:val="4B875EEF"/>
    <w:rsid w:val="4B991F60"/>
    <w:rsid w:val="4BB24DCF"/>
    <w:rsid w:val="4BB40D2B"/>
    <w:rsid w:val="4BB44A5D"/>
    <w:rsid w:val="4BE32B5B"/>
    <w:rsid w:val="4BEA27BB"/>
    <w:rsid w:val="4BEC797C"/>
    <w:rsid w:val="4BF624D9"/>
    <w:rsid w:val="4C0D64AA"/>
    <w:rsid w:val="4C157FCE"/>
    <w:rsid w:val="4C1D63D1"/>
    <w:rsid w:val="4C285091"/>
    <w:rsid w:val="4C39104D"/>
    <w:rsid w:val="4C3B4B33"/>
    <w:rsid w:val="4C4874E2"/>
    <w:rsid w:val="4C4A0649"/>
    <w:rsid w:val="4C597275"/>
    <w:rsid w:val="4C617F8F"/>
    <w:rsid w:val="4C63256E"/>
    <w:rsid w:val="4C7E5ECA"/>
    <w:rsid w:val="4C876AA5"/>
    <w:rsid w:val="4CB84667"/>
    <w:rsid w:val="4CCA7EF7"/>
    <w:rsid w:val="4CD369A0"/>
    <w:rsid w:val="4D021D86"/>
    <w:rsid w:val="4D0734F8"/>
    <w:rsid w:val="4D0E00FB"/>
    <w:rsid w:val="4D0E4287"/>
    <w:rsid w:val="4D16138E"/>
    <w:rsid w:val="4D176606"/>
    <w:rsid w:val="4D2407F9"/>
    <w:rsid w:val="4D267823"/>
    <w:rsid w:val="4D390156"/>
    <w:rsid w:val="4D4324C7"/>
    <w:rsid w:val="4D502AF2"/>
    <w:rsid w:val="4D566987"/>
    <w:rsid w:val="4D5E3FC2"/>
    <w:rsid w:val="4D783DF7"/>
    <w:rsid w:val="4D825C2E"/>
    <w:rsid w:val="4D861753"/>
    <w:rsid w:val="4D924EB8"/>
    <w:rsid w:val="4DBA440F"/>
    <w:rsid w:val="4DBF37D4"/>
    <w:rsid w:val="4DD70B1D"/>
    <w:rsid w:val="4DDC6134"/>
    <w:rsid w:val="4DDE7F96"/>
    <w:rsid w:val="4DEC4FB0"/>
    <w:rsid w:val="4E047438"/>
    <w:rsid w:val="4E06200F"/>
    <w:rsid w:val="4E075D8A"/>
    <w:rsid w:val="4E0E4458"/>
    <w:rsid w:val="4E136497"/>
    <w:rsid w:val="4E1F224D"/>
    <w:rsid w:val="4E395334"/>
    <w:rsid w:val="4E433CEC"/>
    <w:rsid w:val="4E540379"/>
    <w:rsid w:val="4E7740AE"/>
    <w:rsid w:val="4E9F4AEA"/>
    <w:rsid w:val="4EA54AF9"/>
    <w:rsid w:val="4EA824BA"/>
    <w:rsid w:val="4EAD187E"/>
    <w:rsid w:val="4EC00FAD"/>
    <w:rsid w:val="4EC6382A"/>
    <w:rsid w:val="4EDB0170"/>
    <w:rsid w:val="4EE50865"/>
    <w:rsid w:val="4EF26112"/>
    <w:rsid w:val="4F0771E0"/>
    <w:rsid w:val="4F11005F"/>
    <w:rsid w:val="4F1A0BCA"/>
    <w:rsid w:val="4F1F252E"/>
    <w:rsid w:val="4F2A1121"/>
    <w:rsid w:val="4F440434"/>
    <w:rsid w:val="4F6E725F"/>
    <w:rsid w:val="4F756840"/>
    <w:rsid w:val="4F8C0F11"/>
    <w:rsid w:val="4F9843DC"/>
    <w:rsid w:val="4F9F566B"/>
    <w:rsid w:val="4FB44097"/>
    <w:rsid w:val="4FC12EB2"/>
    <w:rsid w:val="4FC62A8C"/>
    <w:rsid w:val="4FC926E8"/>
    <w:rsid w:val="4FD95B8A"/>
    <w:rsid w:val="4FE20F0D"/>
    <w:rsid w:val="4FE51552"/>
    <w:rsid w:val="4FF1523A"/>
    <w:rsid w:val="4FF26C3F"/>
    <w:rsid w:val="50003638"/>
    <w:rsid w:val="50021B24"/>
    <w:rsid w:val="500D6A78"/>
    <w:rsid w:val="50411A70"/>
    <w:rsid w:val="504A1A7A"/>
    <w:rsid w:val="50504C4B"/>
    <w:rsid w:val="5059083C"/>
    <w:rsid w:val="505E58ED"/>
    <w:rsid w:val="50677322"/>
    <w:rsid w:val="507819BE"/>
    <w:rsid w:val="507A44AA"/>
    <w:rsid w:val="507C775A"/>
    <w:rsid w:val="508F6003"/>
    <w:rsid w:val="509C6E7C"/>
    <w:rsid w:val="50A019DC"/>
    <w:rsid w:val="50A8054F"/>
    <w:rsid w:val="50AE32FC"/>
    <w:rsid w:val="50C56740"/>
    <w:rsid w:val="51044B29"/>
    <w:rsid w:val="51063BB9"/>
    <w:rsid w:val="51065C10"/>
    <w:rsid w:val="510D2AA8"/>
    <w:rsid w:val="513444D8"/>
    <w:rsid w:val="5153670D"/>
    <w:rsid w:val="515E4EF1"/>
    <w:rsid w:val="5162104E"/>
    <w:rsid w:val="51841C81"/>
    <w:rsid w:val="51894824"/>
    <w:rsid w:val="519531C9"/>
    <w:rsid w:val="51A72608"/>
    <w:rsid w:val="51AD7C98"/>
    <w:rsid w:val="51CC4711"/>
    <w:rsid w:val="51FC2660"/>
    <w:rsid w:val="520420D8"/>
    <w:rsid w:val="52145841"/>
    <w:rsid w:val="521A1920"/>
    <w:rsid w:val="521E25E6"/>
    <w:rsid w:val="52212ADA"/>
    <w:rsid w:val="522B7834"/>
    <w:rsid w:val="52345A57"/>
    <w:rsid w:val="523A167B"/>
    <w:rsid w:val="5246001F"/>
    <w:rsid w:val="524A04BD"/>
    <w:rsid w:val="525B6C0A"/>
    <w:rsid w:val="525E180D"/>
    <w:rsid w:val="52636E23"/>
    <w:rsid w:val="52880638"/>
    <w:rsid w:val="52884ADC"/>
    <w:rsid w:val="528E0203"/>
    <w:rsid w:val="52AB07CA"/>
    <w:rsid w:val="52AD009F"/>
    <w:rsid w:val="52B94123"/>
    <w:rsid w:val="52BC07CA"/>
    <w:rsid w:val="52D57EE1"/>
    <w:rsid w:val="52E141EC"/>
    <w:rsid w:val="52F21F55"/>
    <w:rsid w:val="52F25D4B"/>
    <w:rsid w:val="530B2156"/>
    <w:rsid w:val="53202F66"/>
    <w:rsid w:val="53220A8C"/>
    <w:rsid w:val="532365B3"/>
    <w:rsid w:val="53450C2D"/>
    <w:rsid w:val="534E7C0E"/>
    <w:rsid w:val="535C417D"/>
    <w:rsid w:val="536C61AC"/>
    <w:rsid w:val="53715570"/>
    <w:rsid w:val="537904C0"/>
    <w:rsid w:val="53A039CC"/>
    <w:rsid w:val="53A1505A"/>
    <w:rsid w:val="53D77AC9"/>
    <w:rsid w:val="53DD49B3"/>
    <w:rsid w:val="53EB543D"/>
    <w:rsid w:val="53EC6025"/>
    <w:rsid w:val="5402441A"/>
    <w:rsid w:val="54063E08"/>
    <w:rsid w:val="54137527"/>
    <w:rsid w:val="541D7610"/>
    <w:rsid w:val="543437E8"/>
    <w:rsid w:val="543E18F6"/>
    <w:rsid w:val="544205A2"/>
    <w:rsid w:val="544762D1"/>
    <w:rsid w:val="54556C40"/>
    <w:rsid w:val="546724CF"/>
    <w:rsid w:val="546D3F89"/>
    <w:rsid w:val="54752E3E"/>
    <w:rsid w:val="54776BB6"/>
    <w:rsid w:val="547F157E"/>
    <w:rsid w:val="547F414C"/>
    <w:rsid w:val="54885E2D"/>
    <w:rsid w:val="54905ECA"/>
    <w:rsid w:val="54992FD0"/>
    <w:rsid w:val="549D4D87"/>
    <w:rsid w:val="54A32F81"/>
    <w:rsid w:val="54A656ED"/>
    <w:rsid w:val="54AE00FE"/>
    <w:rsid w:val="54B30887"/>
    <w:rsid w:val="54E56216"/>
    <w:rsid w:val="54F73313"/>
    <w:rsid w:val="54F80955"/>
    <w:rsid w:val="54F93A6F"/>
    <w:rsid w:val="5506136F"/>
    <w:rsid w:val="550B72FE"/>
    <w:rsid w:val="550D249D"/>
    <w:rsid w:val="551028DA"/>
    <w:rsid w:val="552373D8"/>
    <w:rsid w:val="55240D2C"/>
    <w:rsid w:val="55287EB0"/>
    <w:rsid w:val="55322ADD"/>
    <w:rsid w:val="55344AA7"/>
    <w:rsid w:val="55474DBE"/>
    <w:rsid w:val="55482300"/>
    <w:rsid w:val="555170A7"/>
    <w:rsid w:val="555D2250"/>
    <w:rsid w:val="55627B95"/>
    <w:rsid w:val="55690BF5"/>
    <w:rsid w:val="557425B0"/>
    <w:rsid w:val="55797D86"/>
    <w:rsid w:val="5587536D"/>
    <w:rsid w:val="559B0682"/>
    <w:rsid w:val="559B174B"/>
    <w:rsid w:val="55AE4859"/>
    <w:rsid w:val="55BB16B6"/>
    <w:rsid w:val="55CC1950"/>
    <w:rsid w:val="55CE0CF4"/>
    <w:rsid w:val="55EA4E82"/>
    <w:rsid w:val="55EE4A3A"/>
    <w:rsid w:val="55F37C5C"/>
    <w:rsid w:val="55FD4012"/>
    <w:rsid w:val="560E354A"/>
    <w:rsid w:val="561604B4"/>
    <w:rsid w:val="561F3061"/>
    <w:rsid w:val="56226FF5"/>
    <w:rsid w:val="563F226F"/>
    <w:rsid w:val="565076BF"/>
    <w:rsid w:val="565F67E1"/>
    <w:rsid w:val="5664316A"/>
    <w:rsid w:val="56674A08"/>
    <w:rsid w:val="567A4288"/>
    <w:rsid w:val="567C1E86"/>
    <w:rsid w:val="567C4958"/>
    <w:rsid w:val="56890E23"/>
    <w:rsid w:val="568C725B"/>
    <w:rsid w:val="569D76B0"/>
    <w:rsid w:val="56A93273"/>
    <w:rsid w:val="56B22A9C"/>
    <w:rsid w:val="56EE0C86"/>
    <w:rsid w:val="56F16D18"/>
    <w:rsid w:val="570A1F63"/>
    <w:rsid w:val="570A3263"/>
    <w:rsid w:val="572B4544"/>
    <w:rsid w:val="572D17AE"/>
    <w:rsid w:val="57476390"/>
    <w:rsid w:val="575427D9"/>
    <w:rsid w:val="57580F21"/>
    <w:rsid w:val="57743881"/>
    <w:rsid w:val="57853BD7"/>
    <w:rsid w:val="57B72A76"/>
    <w:rsid w:val="57C2350F"/>
    <w:rsid w:val="57C3426C"/>
    <w:rsid w:val="57C4203E"/>
    <w:rsid w:val="57CE1F93"/>
    <w:rsid w:val="57DB56AE"/>
    <w:rsid w:val="57DD31D4"/>
    <w:rsid w:val="57FA5E2D"/>
    <w:rsid w:val="58056BCA"/>
    <w:rsid w:val="58156E12"/>
    <w:rsid w:val="581B3CFC"/>
    <w:rsid w:val="582708F3"/>
    <w:rsid w:val="58296419"/>
    <w:rsid w:val="582B2191"/>
    <w:rsid w:val="582C7CB7"/>
    <w:rsid w:val="58461706"/>
    <w:rsid w:val="58752E82"/>
    <w:rsid w:val="58770FEB"/>
    <w:rsid w:val="58845D45"/>
    <w:rsid w:val="588743D1"/>
    <w:rsid w:val="5887701A"/>
    <w:rsid w:val="588836A3"/>
    <w:rsid w:val="58965A86"/>
    <w:rsid w:val="58977827"/>
    <w:rsid w:val="5898359F"/>
    <w:rsid w:val="589A10C5"/>
    <w:rsid w:val="58A571F6"/>
    <w:rsid w:val="58AF6640"/>
    <w:rsid w:val="58BD1C9B"/>
    <w:rsid w:val="58D2779D"/>
    <w:rsid w:val="58F22CAF"/>
    <w:rsid w:val="58FE588D"/>
    <w:rsid w:val="59017307"/>
    <w:rsid w:val="59091DA7"/>
    <w:rsid w:val="590B2E55"/>
    <w:rsid w:val="59177A83"/>
    <w:rsid w:val="5918791E"/>
    <w:rsid w:val="59215342"/>
    <w:rsid w:val="592A5FCF"/>
    <w:rsid w:val="59373B6B"/>
    <w:rsid w:val="593A0E1B"/>
    <w:rsid w:val="59605E6B"/>
    <w:rsid w:val="59611BE3"/>
    <w:rsid w:val="59861649"/>
    <w:rsid w:val="59995883"/>
    <w:rsid w:val="599C2C1B"/>
    <w:rsid w:val="59A275AD"/>
    <w:rsid w:val="59AC0D97"/>
    <w:rsid w:val="59B04782"/>
    <w:rsid w:val="59C0439F"/>
    <w:rsid w:val="59C06909"/>
    <w:rsid w:val="59E0732E"/>
    <w:rsid w:val="59EB778D"/>
    <w:rsid w:val="59F842F5"/>
    <w:rsid w:val="5A00764E"/>
    <w:rsid w:val="5A056A12"/>
    <w:rsid w:val="5A0A04CC"/>
    <w:rsid w:val="5A0D79FC"/>
    <w:rsid w:val="5A24333C"/>
    <w:rsid w:val="5A2A0461"/>
    <w:rsid w:val="5A2D6FE6"/>
    <w:rsid w:val="5A3F7B65"/>
    <w:rsid w:val="5A4237C2"/>
    <w:rsid w:val="5A453BAF"/>
    <w:rsid w:val="5A494BC1"/>
    <w:rsid w:val="5A673229"/>
    <w:rsid w:val="5A711129"/>
    <w:rsid w:val="5A7951DA"/>
    <w:rsid w:val="5A8A4156"/>
    <w:rsid w:val="5A8A6572"/>
    <w:rsid w:val="5A951B44"/>
    <w:rsid w:val="5AA950BC"/>
    <w:rsid w:val="5AB741B0"/>
    <w:rsid w:val="5ABE2233"/>
    <w:rsid w:val="5ABF6EB9"/>
    <w:rsid w:val="5ACC12DE"/>
    <w:rsid w:val="5ACC7530"/>
    <w:rsid w:val="5AD62B46"/>
    <w:rsid w:val="5ADD34EB"/>
    <w:rsid w:val="5AE8436A"/>
    <w:rsid w:val="5B024CDB"/>
    <w:rsid w:val="5B1213E7"/>
    <w:rsid w:val="5B2D7FCE"/>
    <w:rsid w:val="5B6617F1"/>
    <w:rsid w:val="5B7E766A"/>
    <w:rsid w:val="5B8C1311"/>
    <w:rsid w:val="5BA31615"/>
    <w:rsid w:val="5BAA5AC3"/>
    <w:rsid w:val="5BAF6C35"/>
    <w:rsid w:val="5BC22E0D"/>
    <w:rsid w:val="5BC66C32"/>
    <w:rsid w:val="5BD01EF1"/>
    <w:rsid w:val="5BD743DE"/>
    <w:rsid w:val="5BDE576D"/>
    <w:rsid w:val="5BDF5D95"/>
    <w:rsid w:val="5BE4354C"/>
    <w:rsid w:val="5BE663CF"/>
    <w:rsid w:val="5BEF1728"/>
    <w:rsid w:val="5BF50A4C"/>
    <w:rsid w:val="5BFE7528"/>
    <w:rsid w:val="5C11502D"/>
    <w:rsid w:val="5C1B076F"/>
    <w:rsid w:val="5C207B33"/>
    <w:rsid w:val="5C2308A1"/>
    <w:rsid w:val="5C36109E"/>
    <w:rsid w:val="5C3B2BBF"/>
    <w:rsid w:val="5C4455B4"/>
    <w:rsid w:val="5C473312"/>
    <w:rsid w:val="5C4F0418"/>
    <w:rsid w:val="5C533A65"/>
    <w:rsid w:val="5C7D31D8"/>
    <w:rsid w:val="5C855BE8"/>
    <w:rsid w:val="5C922CA1"/>
    <w:rsid w:val="5C944872"/>
    <w:rsid w:val="5CB564CD"/>
    <w:rsid w:val="5CB73713"/>
    <w:rsid w:val="5CBD1BC8"/>
    <w:rsid w:val="5CC04E72"/>
    <w:rsid w:val="5CD60CA3"/>
    <w:rsid w:val="5CE768A3"/>
    <w:rsid w:val="5CF52D6E"/>
    <w:rsid w:val="5CF733E4"/>
    <w:rsid w:val="5CFE264B"/>
    <w:rsid w:val="5D086F45"/>
    <w:rsid w:val="5D091AC2"/>
    <w:rsid w:val="5D094A6B"/>
    <w:rsid w:val="5D327B1E"/>
    <w:rsid w:val="5D3F048D"/>
    <w:rsid w:val="5D3F66DF"/>
    <w:rsid w:val="5D483BD4"/>
    <w:rsid w:val="5D5472D5"/>
    <w:rsid w:val="5D5A0E23"/>
    <w:rsid w:val="5D5A7075"/>
    <w:rsid w:val="5D716DC3"/>
    <w:rsid w:val="5D765590"/>
    <w:rsid w:val="5D7A3273"/>
    <w:rsid w:val="5D8331B0"/>
    <w:rsid w:val="5D924A61"/>
    <w:rsid w:val="5DAA7FFC"/>
    <w:rsid w:val="5DB9327E"/>
    <w:rsid w:val="5DC11C82"/>
    <w:rsid w:val="5DC7688B"/>
    <w:rsid w:val="5DC854D0"/>
    <w:rsid w:val="5DDD03DE"/>
    <w:rsid w:val="5DE9235D"/>
    <w:rsid w:val="5DED10A9"/>
    <w:rsid w:val="5DED1414"/>
    <w:rsid w:val="5DF43025"/>
    <w:rsid w:val="5E2467F1"/>
    <w:rsid w:val="5E4749DA"/>
    <w:rsid w:val="5E4C4C10"/>
    <w:rsid w:val="5E5C26A6"/>
    <w:rsid w:val="5E622685"/>
    <w:rsid w:val="5E6D024E"/>
    <w:rsid w:val="5E7561A4"/>
    <w:rsid w:val="5E8545C5"/>
    <w:rsid w:val="5EA41270"/>
    <w:rsid w:val="5EAB4A36"/>
    <w:rsid w:val="5EAC1B52"/>
    <w:rsid w:val="5EB033F0"/>
    <w:rsid w:val="5EB82B79"/>
    <w:rsid w:val="5EE25574"/>
    <w:rsid w:val="5EEF0611"/>
    <w:rsid w:val="5EF36638"/>
    <w:rsid w:val="5F02451D"/>
    <w:rsid w:val="5F047298"/>
    <w:rsid w:val="5F180F96"/>
    <w:rsid w:val="5F1A2B43"/>
    <w:rsid w:val="5F2D4A41"/>
    <w:rsid w:val="5F335AED"/>
    <w:rsid w:val="5F4E2C09"/>
    <w:rsid w:val="5F54321A"/>
    <w:rsid w:val="5F5A1C5D"/>
    <w:rsid w:val="5F5C5FB8"/>
    <w:rsid w:val="5F792C6F"/>
    <w:rsid w:val="5F95052E"/>
    <w:rsid w:val="5F97635E"/>
    <w:rsid w:val="5F9A0CFC"/>
    <w:rsid w:val="5FB837BB"/>
    <w:rsid w:val="5FB94527"/>
    <w:rsid w:val="5FB962D5"/>
    <w:rsid w:val="5FCC2AA9"/>
    <w:rsid w:val="5FF67529"/>
    <w:rsid w:val="5FF94923"/>
    <w:rsid w:val="60065E0F"/>
    <w:rsid w:val="60076680"/>
    <w:rsid w:val="60136C47"/>
    <w:rsid w:val="602147F8"/>
    <w:rsid w:val="60343BAD"/>
    <w:rsid w:val="604C267D"/>
    <w:rsid w:val="60500AB3"/>
    <w:rsid w:val="6061058D"/>
    <w:rsid w:val="606131E6"/>
    <w:rsid w:val="6062112C"/>
    <w:rsid w:val="60636F96"/>
    <w:rsid w:val="607B17DC"/>
    <w:rsid w:val="60870181"/>
    <w:rsid w:val="608F7035"/>
    <w:rsid w:val="60A10FBD"/>
    <w:rsid w:val="60AC5E39"/>
    <w:rsid w:val="60BB178B"/>
    <w:rsid w:val="60BE175D"/>
    <w:rsid w:val="60BF234B"/>
    <w:rsid w:val="60C02E36"/>
    <w:rsid w:val="60C33A12"/>
    <w:rsid w:val="60CC405A"/>
    <w:rsid w:val="60D62EB6"/>
    <w:rsid w:val="60EA53FD"/>
    <w:rsid w:val="60FB46CB"/>
    <w:rsid w:val="6118702B"/>
    <w:rsid w:val="61264979"/>
    <w:rsid w:val="61323237"/>
    <w:rsid w:val="613F1207"/>
    <w:rsid w:val="615A3AE7"/>
    <w:rsid w:val="618C36DA"/>
    <w:rsid w:val="61BC1839"/>
    <w:rsid w:val="61BD7BD2"/>
    <w:rsid w:val="61D52193"/>
    <w:rsid w:val="61D90EB0"/>
    <w:rsid w:val="61DA7BC9"/>
    <w:rsid w:val="61E215D8"/>
    <w:rsid w:val="62053A53"/>
    <w:rsid w:val="62057669"/>
    <w:rsid w:val="62083543"/>
    <w:rsid w:val="620C267E"/>
    <w:rsid w:val="6211064A"/>
    <w:rsid w:val="62113D8D"/>
    <w:rsid w:val="62113EBF"/>
    <w:rsid w:val="62173786"/>
    <w:rsid w:val="621A6FE4"/>
    <w:rsid w:val="621B3775"/>
    <w:rsid w:val="6222123A"/>
    <w:rsid w:val="62297D08"/>
    <w:rsid w:val="622C071D"/>
    <w:rsid w:val="62364782"/>
    <w:rsid w:val="62457B6A"/>
    <w:rsid w:val="62571DD5"/>
    <w:rsid w:val="626764BC"/>
    <w:rsid w:val="62725DF9"/>
    <w:rsid w:val="62921605"/>
    <w:rsid w:val="6292414C"/>
    <w:rsid w:val="6299419B"/>
    <w:rsid w:val="62A84F30"/>
    <w:rsid w:val="62B161ED"/>
    <w:rsid w:val="62B334AF"/>
    <w:rsid w:val="62B965EC"/>
    <w:rsid w:val="62BB05B6"/>
    <w:rsid w:val="62CE653B"/>
    <w:rsid w:val="62D358FF"/>
    <w:rsid w:val="62D653F0"/>
    <w:rsid w:val="62F5146E"/>
    <w:rsid w:val="63047250"/>
    <w:rsid w:val="63091321"/>
    <w:rsid w:val="630930CF"/>
    <w:rsid w:val="631A2290"/>
    <w:rsid w:val="631A52DC"/>
    <w:rsid w:val="631B2E02"/>
    <w:rsid w:val="6320666B"/>
    <w:rsid w:val="632E0D88"/>
    <w:rsid w:val="63532B17"/>
    <w:rsid w:val="63585FD2"/>
    <w:rsid w:val="635A392B"/>
    <w:rsid w:val="635D78BF"/>
    <w:rsid w:val="636921F9"/>
    <w:rsid w:val="637D18D6"/>
    <w:rsid w:val="637F5A87"/>
    <w:rsid w:val="638035D4"/>
    <w:rsid w:val="638210D3"/>
    <w:rsid w:val="6394356A"/>
    <w:rsid w:val="63957059"/>
    <w:rsid w:val="639A6746"/>
    <w:rsid w:val="63BF40D6"/>
    <w:rsid w:val="63C61B2C"/>
    <w:rsid w:val="63CA0250"/>
    <w:rsid w:val="63D40BE9"/>
    <w:rsid w:val="63D6044B"/>
    <w:rsid w:val="63D84F3B"/>
    <w:rsid w:val="63DE6767"/>
    <w:rsid w:val="63E21DE3"/>
    <w:rsid w:val="63EB0A27"/>
    <w:rsid w:val="63F461F0"/>
    <w:rsid w:val="64102431"/>
    <w:rsid w:val="641546C5"/>
    <w:rsid w:val="64195594"/>
    <w:rsid w:val="64203D44"/>
    <w:rsid w:val="642F4DB7"/>
    <w:rsid w:val="64374988"/>
    <w:rsid w:val="644545DB"/>
    <w:rsid w:val="64462101"/>
    <w:rsid w:val="644B36CE"/>
    <w:rsid w:val="64562060"/>
    <w:rsid w:val="64590086"/>
    <w:rsid w:val="64801EFD"/>
    <w:rsid w:val="64855782"/>
    <w:rsid w:val="64921BDB"/>
    <w:rsid w:val="64925D9F"/>
    <w:rsid w:val="649316A5"/>
    <w:rsid w:val="64970BAF"/>
    <w:rsid w:val="64A5243A"/>
    <w:rsid w:val="64AE2BB3"/>
    <w:rsid w:val="64B1537D"/>
    <w:rsid w:val="64BF75F6"/>
    <w:rsid w:val="64CC6AAA"/>
    <w:rsid w:val="64D43BB1"/>
    <w:rsid w:val="64DA2ADC"/>
    <w:rsid w:val="64F531DE"/>
    <w:rsid w:val="65051FBC"/>
    <w:rsid w:val="650A5824"/>
    <w:rsid w:val="65235A04"/>
    <w:rsid w:val="65373578"/>
    <w:rsid w:val="65393A14"/>
    <w:rsid w:val="653B778C"/>
    <w:rsid w:val="654A379D"/>
    <w:rsid w:val="65501B81"/>
    <w:rsid w:val="65580A03"/>
    <w:rsid w:val="655B398A"/>
    <w:rsid w:val="655F347A"/>
    <w:rsid w:val="656E190F"/>
    <w:rsid w:val="65736F26"/>
    <w:rsid w:val="657B402C"/>
    <w:rsid w:val="6598698C"/>
    <w:rsid w:val="659A0956"/>
    <w:rsid w:val="65B03CD6"/>
    <w:rsid w:val="65B174D2"/>
    <w:rsid w:val="65B45D8C"/>
    <w:rsid w:val="65B66A7F"/>
    <w:rsid w:val="65B71508"/>
    <w:rsid w:val="65BF03BD"/>
    <w:rsid w:val="65DC0F6F"/>
    <w:rsid w:val="65E2462D"/>
    <w:rsid w:val="65E6594A"/>
    <w:rsid w:val="65F00576"/>
    <w:rsid w:val="66042274"/>
    <w:rsid w:val="663075CD"/>
    <w:rsid w:val="66391F1D"/>
    <w:rsid w:val="663A3EE7"/>
    <w:rsid w:val="665054B9"/>
    <w:rsid w:val="66680A54"/>
    <w:rsid w:val="666A0329"/>
    <w:rsid w:val="668122F3"/>
    <w:rsid w:val="66A12257"/>
    <w:rsid w:val="66AF3F8D"/>
    <w:rsid w:val="66C87D6A"/>
    <w:rsid w:val="66D02156"/>
    <w:rsid w:val="66D34397"/>
    <w:rsid w:val="66E005EB"/>
    <w:rsid w:val="670267B3"/>
    <w:rsid w:val="671430FC"/>
    <w:rsid w:val="671F124A"/>
    <w:rsid w:val="67397C7E"/>
    <w:rsid w:val="673B7F17"/>
    <w:rsid w:val="673D32C5"/>
    <w:rsid w:val="674513EC"/>
    <w:rsid w:val="6756718E"/>
    <w:rsid w:val="67675304"/>
    <w:rsid w:val="67683997"/>
    <w:rsid w:val="6773320D"/>
    <w:rsid w:val="677376B1"/>
    <w:rsid w:val="677941B9"/>
    <w:rsid w:val="677A33C6"/>
    <w:rsid w:val="67B11C5B"/>
    <w:rsid w:val="67B22635"/>
    <w:rsid w:val="67C021CA"/>
    <w:rsid w:val="67CC5C5A"/>
    <w:rsid w:val="680447AD"/>
    <w:rsid w:val="680C3022"/>
    <w:rsid w:val="6813679E"/>
    <w:rsid w:val="681F6961"/>
    <w:rsid w:val="68204069"/>
    <w:rsid w:val="682D4F2C"/>
    <w:rsid w:val="683A1F7D"/>
    <w:rsid w:val="683F6566"/>
    <w:rsid w:val="68570D81"/>
    <w:rsid w:val="685F19E3"/>
    <w:rsid w:val="68610A2F"/>
    <w:rsid w:val="68617509"/>
    <w:rsid w:val="68662D72"/>
    <w:rsid w:val="68805514"/>
    <w:rsid w:val="689478DF"/>
    <w:rsid w:val="68A1024E"/>
    <w:rsid w:val="68B25DAC"/>
    <w:rsid w:val="68B97345"/>
    <w:rsid w:val="68D36EDC"/>
    <w:rsid w:val="68DF7B10"/>
    <w:rsid w:val="68FC5484"/>
    <w:rsid w:val="68FE11FC"/>
    <w:rsid w:val="690A7750"/>
    <w:rsid w:val="690D143F"/>
    <w:rsid w:val="690E5222"/>
    <w:rsid w:val="691C3231"/>
    <w:rsid w:val="69230C63"/>
    <w:rsid w:val="69316E2F"/>
    <w:rsid w:val="69320EA6"/>
    <w:rsid w:val="693966D8"/>
    <w:rsid w:val="69456E2B"/>
    <w:rsid w:val="694E2071"/>
    <w:rsid w:val="694E3F32"/>
    <w:rsid w:val="694F2375"/>
    <w:rsid w:val="696848C8"/>
    <w:rsid w:val="69731BEA"/>
    <w:rsid w:val="69747710"/>
    <w:rsid w:val="69766163"/>
    <w:rsid w:val="697A3B33"/>
    <w:rsid w:val="697B0A9F"/>
    <w:rsid w:val="69821E2D"/>
    <w:rsid w:val="69872FA0"/>
    <w:rsid w:val="69912070"/>
    <w:rsid w:val="6998285E"/>
    <w:rsid w:val="699A7177"/>
    <w:rsid w:val="69B8584F"/>
    <w:rsid w:val="69D41F5D"/>
    <w:rsid w:val="69D44760"/>
    <w:rsid w:val="69E46644"/>
    <w:rsid w:val="69E4773D"/>
    <w:rsid w:val="69E5416A"/>
    <w:rsid w:val="6A0509E8"/>
    <w:rsid w:val="6A056F78"/>
    <w:rsid w:val="6A06154D"/>
    <w:rsid w:val="6A0B5316"/>
    <w:rsid w:val="6A194EEC"/>
    <w:rsid w:val="6A260B2B"/>
    <w:rsid w:val="6A3C29BF"/>
    <w:rsid w:val="6A447FD1"/>
    <w:rsid w:val="6A453984"/>
    <w:rsid w:val="6A520EC7"/>
    <w:rsid w:val="6A537326"/>
    <w:rsid w:val="6A5F5A24"/>
    <w:rsid w:val="6A6E23B2"/>
    <w:rsid w:val="6A70612A"/>
    <w:rsid w:val="6A7343B6"/>
    <w:rsid w:val="6A7A3556"/>
    <w:rsid w:val="6A983EEA"/>
    <w:rsid w:val="6A9C0CCD"/>
    <w:rsid w:val="6AA656A7"/>
    <w:rsid w:val="6AA86F30"/>
    <w:rsid w:val="6AB029CA"/>
    <w:rsid w:val="6AB2641F"/>
    <w:rsid w:val="6AB778B5"/>
    <w:rsid w:val="6ADE12E5"/>
    <w:rsid w:val="6AE23394"/>
    <w:rsid w:val="6AF1726A"/>
    <w:rsid w:val="6AF87E20"/>
    <w:rsid w:val="6AFE65C3"/>
    <w:rsid w:val="6B00125C"/>
    <w:rsid w:val="6B322639"/>
    <w:rsid w:val="6B362ECF"/>
    <w:rsid w:val="6B3709F5"/>
    <w:rsid w:val="6B4649F7"/>
    <w:rsid w:val="6B5925FD"/>
    <w:rsid w:val="6B607F4C"/>
    <w:rsid w:val="6B7B2FD8"/>
    <w:rsid w:val="6B7D28AC"/>
    <w:rsid w:val="6B976C81"/>
    <w:rsid w:val="6B994A5D"/>
    <w:rsid w:val="6BA442DD"/>
    <w:rsid w:val="6BAC6EB7"/>
    <w:rsid w:val="6BB03A30"/>
    <w:rsid w:val="6C0C59DE"/>
    <w:rsid w:val="6C0F51A7"/>
    <w:rsid w:val="6C1C051C"/>
    <w:rsid w:val="6C1F5711"/>
    <w:rsid w:val="6C2B555E"/>
    <w:rsid w:val="6C4E249B"/>
    <w:rsid w:val="6C536BE9"/>
    <w:rsid w:val="6C5A499B"/>
    <w:rsid w:val="6C636C38"/>
    <w:rsid w:val="6C7425C7"/>
    <w:rsid w:val="6C8161A7"/>
    <w:rsid w:val="6C97799E"/>
    <w:rsid w:val="6C983716"/>
    <w:rsid w:val="6CA125CA"/>
    <w:rsid w:val="6CB319F4"/>
    <w:rsid w:val="6CB477C7"/>
    <w:rsid w:val="6CB57E24"/>
    <w:rsid w:val="6CBC7404"/>
    <w:rsid w:val="6CC22A97"/>
    <w:rsid w:val="6CC950AA"/>
    <w:rsid w:val="6CCA7F7B"/>
    <w:rsid w:val="6CE354FC"/>
    <w:rsid w:val="6CE64481"/>
    <w:rsid w:val="6CFA59CE"/>
    <w:rsid w:val="6CFC7C54"/>
    <w:rsid w:val="6D050DAB"/>
    <w:rsid w:val="6D1919FD"/>
    <w:rsid w:val="6D1A3CAC"/>
    <w:rsid w:val="6D201BB4"/>
    <w:rsid w:val="6D2F7BD6"/>
    <w:rsid w:val="6D323B6A"/>
    <w:rsid w:val="6D400035"/>
    <w:rsid w:val="6D415B5B"/>
    <w:rsid w:val="6D4C69DA"/>
    <w:rsid w:val="6D4D4500"/>
    <w:rsid w:val="6D592EA5"/>
    <w:rsid w:val="6D5B4E6F"/>
    <w:rsid w:val="6D6F37D1"/>
    <w:rsid w:val="6D793547"/>
    <w:rsid w:val="6D7F7D4C"/>
    <w:rsid w:val="6D8D2B4F"/>
    <w:rsid w:val="6DA0500E"/>
    <w:rsid w:val="6DAC7F0E"/>
    <w:rsid w:val="6DAE26BA"/>
    <w:rsid w:val="6DB25E47"/>
    <w:rsid w:val="6DB34098"/>
    <w:rsid w:val="6DB545B6"/>
    <w:rsid w:val="6DC20A4A"/>
    <w:rsid w:val="6DC67590"/>
    <w:rsid w:val="6DE02FB4"/>
    <w:rsid w:val="6DE97B69"/>
    <w:rsid w:val="6E166FE8"/>
    <w:rsid w:val="6E2309D3"/>
    <w:rsid w:val="6E2624BF"/>
    <w:rsid w:val="6E2E03ED"/>
    <w:rsid w:val="6E301E58"/>
    <w:rsid w:val="6E312157"/>
    <w:rsid w:val="6E514CED"/>
    <w:rsid w:val="6E900B48"/>
    <w:rsid w:val="6EB563D5"/>
    <w:rsid w:val="6EC922AC"/>
    <w:rsid w:val="6ECE341F"/>
    <w:rsid w:val="6ED92677"/>
    <w:rsid w:val="6EE63285"/>
    <w:rsid w:val="6EEE3867"/>
    <w:rsid w:val="6F225983"/>
    <w:rsid w:val="6F271D82"/>
    <w:rsid w:val="6F2A2D4B"/>
    <w:rsid w:val="6F3E0FA3"/>
    <w:rsid w:val="6F42094D"/>
    <w:rsid w:val="6F437969"/>
    <w:rsid w:val="6F4E3D06"/>
    <w:rsid w:val="6F667AFB"/>
    <w:rsid w:val="6F77261A"/>
    <w:rsid w:val="6FAF4FFE"/>
    <w:rsid w:val="6FC74411"/>
    <w:rsid w:val="6FCF4FA5"/>
    <w:rsid w:val="6FEB1D4F"/>
    <w:rsid w:val="6FFC5590"/>
    <w:rsid w:val="6FFE5B01"/>
    <w:rsid w:val="700E0F25"/>
    <w:rsid w:val="70180DF5"/>
    <w:rsid w:val="701E54F5"/>
    <w:rsid w:val="702E4908"/>
    <w:rsid w:val="703379DD"/>
    <w:rsid w:val="70385739"/>
    <w:rsid w:val="704F155E"/>
    <w:rsid w:val="705020FD"/>
    <w:rsid w:val="70587444"/>
    <w:rsid w:val="706758D9"/>
    <w:rsid w:val="706D05BB"/>
    <w:rsid w:val="706D1DD0"/>
    <w:rsid w:val="70721977"/>
    <w:rsid w:val="70750CC3"/>
    <w:rsid w:val="70785D38"/>
    <w:rsid w:val="707A1AB0"/>
    <w:rsid w:val="707B1384"/>
    <w:rsid w:val="707B781C"/>
    <w:rsid w:val="7081689B"/>
    <w:rsid w:val="70856B87"/>
    <w:rsid w:val="70971E04"/>
    <w:rsid w:val="709C6820"/>
    <w:rsid w:val="70A66401"/>
    <w:rsid w:val="70B054D2"/>
    <w:rsid w:val="70B32BC2"/>
    <w:rsid w:val="70B32E6B"/>
    <w:rsid w:val="70B97DDB"/>
    <w:rsid w:val="70D527EE"/>
    <w:rsid w:val="70E1568B"/>
    <w:rsid w:val="70E53128"/>
    <w:rsid w:val="70F6250B"/>
    <w:rsid w:val="70F73101"/>
    <w:rsid w:val="70F87B0A"/>
    <w:rsid w:val="710650F2"/>
    <w:rsid w:val="710A39B3"/>
    <w:rsid w:val="710B2708"/>
    <w:rsid w:val="71185FB7"/>
    <w:rsid w:val="711D4EAC"/>
    <w:rsid w:val="712E52F8"/>
    <w:rsid w:val="713734FD"/>
    <w:rsid w:val="713A6780"/>
    <w:rsid w:val="713C0B14"/>
    <w:rsid w:val="714207E1"/>
    <w:rsid w:val="7159175A"/>
    <w:rsid w:val="715B5300"/>
    <w:rsid w:val="717E112C"/>
    <w:rsid w:val="7188169E"/>
    <w:rsid w:val="71890614"/>
    <w:rsid w:val="71924BD7"/>
    <w:rsid w:val="71A87F57"/>
    <w:rsid w:val="71B0505E"/>
    <w:rsid w:val="71B15690"/>
    <w:rsid w:val="71B438FA"/>
    <w:rsid w:val="71B66B18"/>
    <w:rsid w:val="71C11019"/>
    <w:rsid w:val="71D27F8A"/>
    <w:rsid w:val="71D82C14"/>
    <w:rsid w:val="71E2790D"/>
    <w:rsid w:val="71E847F7"/>
    <w:rsid w:val="71FB4625"/>
    <w:rsid w:val="72084E9A"/>
    <w:rsid w:val="721D0945"/>
    <w:rsid w:val="72205E21"/>
    <w:rsid w:val="72296436"/>
    <w:rsid w:val="722D2D27"/>
    <w:rsid w:val="72487AB5"/>
    <w:rsid w:val="724F1A1F"/>
    <w:rsid w:val="72553024"/>
    <w:rsid w:val="726D4A06"/>
    <w:rsid w:val="727367B7"/>
    <w:rsid w:val="72874010"/>
    <w:rsid w:val="728D3789"/>
    <w:rsid w:val="72C40DC1"/>
    <w:rsid w:val="73041B05"/>
    <w:rsid w:val="73076EFF"/>
    <w:rsid w:val="730C1A8A"/>
    <w:rsid w:val="73122968"/>
    <w:rsid w:val="73137F9A"/>
    <w:rsid w:val="731F5D5E"/>
    <w:rsid w:val="732F6CDB"/>
    <w:rsid w:val="7343262D"/>
    <w:rsid w:val="7346211D"/>
    <w:rsid w:val="734935BD"/>
    <w:rsid w:val="73603ECF"/>
    <w:rsid w:val="73607D61"/>
    <w:rsid w:val="737723D6"/>
    <w:rsid w:val="737E3665"/>
    <w:rsid w:val="73866295"/>
    <w:rsid w:val="73AB3D2F"/>
    <w:rsid w:val="73BC271A"/>
    <w:rsid w:val="73C51AD5"/>
    <w:rsid w:val="73CC2623"/>
    <w:rsid w:val="73E3171A"/>
    <w:rsid w:val="73F27BAF"/>
    <w:rsid w:val="73F9347A"/>
    <w:rsid w:val="740A314B"/>
    <w:rsid w:val="741E793C"/>
    <w:rsid w:val="74277859"/>
    <w:rsid w:val="743E30A2"/>
    <w:rsid w:val="74485A21"/>
    <w:rsid w:val="744C72C0"/>
    <w:rsid w:val="744F5002"/>
    <w:rsid w:val="74510D7A"/>
    <w:rsid w:val="745368A0"/>
    <w:rsid w:val="745443C6"/>
    <w:rsid w:val="74575C64"/>
    <w:rsid w:val="745B7503"/>
    <w:rsid w:val="745E3944"/>
    <w:rsid w:val="74620ED1"/>
    <w:rsid w:val="747B7BA5"/>
    <w:rsid w:val="747D56CB"/>
    <w:rsid w:val="747E0535"/>
    <w:rsid w:val="747F61D2"/>
    <w:rsid w:val="748603E4"/>
    <w:rsid w:val="749169AB"/>
    <w:rsid w:val="74D042B0"/>
    <w:rsid w:val="74DD686A"/>
    <w:rsid w:val="74FF07D6"/>
    <w:rsid w:val="75036E13"/>
    <w:rsid w:val="75137409"/>
    <w:rsid w:val="75226272"/>
    <w:rsid w:val="75363ACC"/>
    <w:rsid w:val="7548139F"/>
    <w:rsid w:val="75656C30"/>
    <w:rsid w:val="757271FA"/>
    <w:rsid w:val="758515C8"/>
    <w:rsid w:val="759D3038"/>
    <w:rsid w:val="75A153E9"/>
    <w:rsid w:val="75AC100B"/>
    <w:rsid w:val="75B23A9A"/>
    <w:rsid w:val="75CB06B8"/>
    <w:rsid w:val="75E74DD5"/>
    <w:rsid w:val="75FF0C10"/>
    <w:rsid w:val="760A7432"/>
    <w:rsid w:val="76191425"/>
    <w:rsid w:val="761C21D1"/>
    <w:rsid w:val="762B3F1A"/>
    <w:rsid w:val="7635099D"/>
    <w:rsid w:val="763C5112"/>
    <w:rsid w:val="76452218"/>
    <w:rsid w:val="76473DFF"/>
    <w:rsid w:val="76481D09"/>
    <w:rsid w:val="764C17F9"/>
    <w:rsid w:val="7662213D"/>
    <w:rsid w:val="766E5C13"/>
    <w:rsid w:val="766F7295"/>
    <w:rsid w:val="767D1B6C"/>
    <w:rsid w:val="76A52FA5"/>
    <w:rsid w:val="76A65920"/>
    <w:rsid w:val="76BB3B84"/>
    <w:rsid w:val="76E25292"/>
    <w:rsid w:val="76E77774"/>
    <w:rsid w:val="76F26C14"/>
    <w:rsid w:val="770E4D00"/>
    <w:rsid w:val="77242FBF"/>
    <w:rsid w:val="772B58B2"/>
    <w:rsid w:val="772E7150"/>
    <w:rsid w:val="77514BED"/>
    <w:rsid w:val="775E1652"/>
    <w:rsid w:val="775F1EDD"/>
    <w:rsid w:val="776963DA"/>
    <w:rsid w:val="77762421"/>
    <w:rsid w:val="7778661E"/>
    <w:rsid w:val="777B7FBE"/>
    <w:rsid w:val="779A1F0A"/>
    <w:rsid w:val="779A2A38"/>
    <w:rsid w:val="77A2369A"/>
    <w:rsid w:val="77B24061"/>
    <w:rsid w:val="77B56B1F"/>
    <w:rsid w:val="77BA4E88"/>
    <w:rsid w:val="77BB2417"/>
    <w:rsid w:val="77E141C3"/>
    <w:rsid w:val="77E31CE9"/>
    <w:rsid w:val="77ED2B68"/>
    <w:rsid w:val="780103C1"/>
    <w:rsid w:val="7808174F"/>
    <w:rsid w:val="780F09F4"/>
    <w:rsid w:val="7819395D"/>
    <w:rsid w:val="781F6CA4"/>
    <w:rsid w:val="78216CB5"/>
    <w:rsid w:val="78232A2D"/>
    <w:rsid w:val="78252B16"/>
    <w:rsid w:val="78307417"/>
    <w:rsid w:val="78332D45"/>
    <w:rsid w:val="783764D9"/>
    <w:rsid w:val="7847671C"/>
    <w:rsid w:val="7883171E"/>
    <w:rsid w:val="7885648D"/>
    <w:rsid w:val="78872FBC"/>
    <w:rsid w:val="78A054C2"/>
    <w:rsid w:val="78A90480"/>
    <w:rsid w:val="78C333ED"/>
    <w:rsid w:val="78E0091E"/>
    <w:rsid w:val="78E33F6B"/>
    <w:rsid w:val="78FA3F0C"/>
    <w:rsid w:val="791A3E30"/>
    <w:rsid w:val="791D7113"/>
    <w:rsid w:val="791F1447"/>
    <w:rsid w:val="79202AC9"/>
    <w:rsid w:val="792410CB"/>
    <w:rsid w:val="7928514E"/>
    <w:rsid w:val="7931117A"/>
    <w:rsid w:val="79312349"/>
    <w:rsid w:val="79330A4E"/>
    <w:rsid w:val="793437F6"/>
    <w:rsid w:val="793C3418"/>
    <w:rsid w:val="7961380D"/>
    <w:rsid w:val="796450AB"/>
    <w:rsid w:val="7967694A"/>
    <w:rsid w:val="79773031"/>
    <w:rsid w:val="79795510"/>
    <w:rsid w:val="7999518A"/>
    <w:rsid w:val="79B576B5"/>
    <w:rsid w:val="79C00625"/>
    <w:rsid w:val="79F24465"/>
    <w:rsid w:val="7A0535E8"/>
    <w:rsid w:val="7A075712"/>
    <w:rsid w:val="7A14420C"/>
    <w:rsid w:val="7A1545F8"/>
    <w:rsid w:val="7A364017"/>
    <w:rsid w:val="7A523156"/>
    <w:rsid w:val="7A5549F4"/>
    <w:rsid w:val="7A652E89"/>
    <w:rsid w:val="7A6E1137"/>
    <w:rsid w:val="7A765096"/>
    <w:rsid w:val="7A7E03EF"/>
    <w:rsid w:val="7A8265E1"/>
    <w:rsid w:val="7A8A28F0"/>
    <w:rsid w:val="7A9D6AC7"/>
    <w:rsid w:val="7AA5597C"/>
    <w:rsid w:val="7AAD65DE"/>
    <w:rsid w:val="7AB806EF"/>
    <w:rsid w:val="7ABB5117"/>
    <w:rsid w:val="7ABB6F4D"/>
    <w:rsid w:val="7ADB75EF"/>
    <w:rsid w:val="7AE244DA"/>
    <w:rsid w:val="7B0207E5"/>
    <w:rsid w:val="7B0D056F"/>
    <w:rsid w:val="7B105150"/>
    <w:rsid w:val="7B114DBF"/>
    <w:rsid w:val="7B1A0DD3"/>
    <w:rsid w:val="7B2E771F"/>
    <w:rsid w:val="7B4B76DA"/>
    <w:rsid w:val="7B686D42"/>
    <w:rsid w:val="7B7535A0"/>
    <w:rsid w:val="7B7A0BB6"/>
    <w:rsid w:val="7B841746"/>
    <w:rsid w:val="7B851309"/>
    <w:rsid w:val="7B98103C"/>
    <w:rsid w:val="7BAD6F9E"/>
    <w:rsid w:val="7BBD0AA3"/>
    <w:rsid w:val="7BC934AC"/>
    <w:rsid w:val="7BD05EC4"/>
    <w:rsid w:val="7BD067B1"/>
    <w:rsid w:val="7BDD3BE9"/>
    <w:rsid w:val="7C10151B"/>
    <w:rsid w:val="7C211032"/>
    <w:rsid w:val="7C595D10"/>
    <w:rsid w:val="7C662EE9"/>
    <w:rsid w:val="7C6C5AC7"/>
    <w:rsid w:val="7C803913"/>
    <w:rsid w:val="7C8617DD"/>
    <w:rsid w:val="7C9932BE"/>
    <w:rsid w:val="7C9E101D"/>
    <w:rsid w:val="7C9F3284"/>
    <w:rsid w:val="7CC52305"/>
    <w:rsid w:val="7CC6544B"/>
    <w:rsid w:val="7CCC3693"/>
    <w:rsid w:val="7CCD2F68"/>
    <w:rsid w:val="7CCD740C"/>
    <w:rsid w:val="7CD503BE"/>
    <w:rsid w:val="7CDE0446"/>
    <w:rsid w:val="7CE342B8"/>
    <w:rsid w:val="7CE85FF3"/>
    <w:rsid w:val="7CEA3B1A"/>
    <w:rsid w:val="7CFE1373"/>
    <w:rsid w:val="7D0239FF"/>
    <w:rsid w:val="7D07647A"/>
    <w:rsid w:val="7D0E2CFF"/>
    <w:rsid w:val="7D1D5C9D"/>
    <w:rsid w:val="7D3354C1"/>
    <w:rsid w:val="7D3905FD"/>
    <w:rsid w:val="7D3F10C6"/>
    <w:rsid w:val="7D4A0A5C"/>
    <w:rsid w:val="7D5E40CD"/>
    <w:rsid w:val="7D603DDC"/>
    <w:rsid w:val="7D797E17"/>
    <w:rsid w:val="7D823788"/>
    <w:rsid w:val="7DA261A2"/>
    <w:rsid w:val="7DAC7021"/>
    <w:rsid w:val="7DAF3D55"/>
    <w:rsid w:val="7DBA34EC"/>
    <w:rsid w:val="7DC4191F"/>
    <w:rsid w:val="7DCD56F2"/>
    <w:rsid w:val="7DD234E2"/>
    <w:rsid w:val="7DE71E07"/>
    <w:rsid w:val="7DEB5D9B"/>
    <w:rsid w:val="7DF10ED8"/>
    <w:rsid w:val="7E0F0499"/>
    <w:rsid w:val="7E0F44BF"/>
    <w:rsid w:val="7E121CA5"/>
    <w:rsid w:val="7E1976EC"/>
    <w:rsid w:val="7E4648EF"/>
    <w:rsid w:val="7E4C5BA2"/>
    <w:rsid w:val="7E4C610E"/>
    <w:rsid w:val="7E4D6C1F"/>
    <w:rsid w:val="7E680A03"/>
    <w:rsid w:val="7E7933A7"/>
    <w:rsid w:val="7E7E276B"/>
    <w:rsid w:val="7E7E5E60"/>
    <w:rsid w:val="7EA77234"/>
    <w:rsid w:val="7EC562F5"/>
    <w:rsid w:val="7EE43B13"/>
    <w:rsid w:val="7EE44153"/>
    <w:rsid w:val="7F001CE7"/>
    <w:rsid w:val="7F1337B0"/>
    <w:rsid w:val="7F1A7C8D"/>
    <w:rsid w:val="7F3E1EFB"/>
    <w:rsid w:val="7F49446D"/>
    <w:rsid w:val="7F4C091A"/>
    <w:rsid w:val="7F5C11A2"/>
    <w:rsid w:val="7F5E434B"/>
    <w:rsid w:val="7F743B6E"/>
    <w:rsid w:val="7F840255"/>
    <w:rsid w:val="7F855D7C"/>
    <w:rsid w:val="7F885C56"/>
    <w:rsid w:val="7F8C2C66"/>
    <w:rsid w:val="7F932247"/>
    <w:rsid w:val="7FAC50B6"/>
    <w:rsid w:val="7FAF2DF8"/>
    <w:rsid w:val="7FBB179D"/>
    <w:rsid w:val="7FBE053E"/>
    <w:rsid w:val="7FCE14D1"/>
    <w:rsid w:val="7FE47E50"/>
    <w:rsid w:val="7FE555C0"/>
    <w:rsid w:val="7FE726DE"/>
    <w:rsid w:val="7FF058E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qFormat="1"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99" w:semiHidden="0" w:name="Body Text First Indent 2" w:locked="1"/>
    <w:lsdException w:unhideWhenUsed="0" w:uiPriority="0" w:semiHidden="0" w:name="Note Heading" w:locked="1"/>
    <w:lsdException w:unhideWhenUsed="0" w:uiPriority="0" w:semiHidden="0" w:name="Body Text 2" w:locked="1"/>
    <w:lsdException w:qFormat="1" w:uiPriority="1" w:semiHidden="0" w:name="Body Text 3" w:locked="1"/>
    <w:lsdException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bidi w:val="0"/>
      <w:adjustRightInd w:val="0"/>
      <w:snapToGrid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5">
    <w:name w:val="heading 1"/>
    <w:basedOn w:val="1"/>
    <w:next w:val="1"/>
    <w:link w:val="67"/>
    <w:qFormat/>
    <w:locked/>
    <w:uiPriority w:val="99"/>
    <w:pPr>
      <w:keepNext/>
      <w:overflowPunct w:val="0"/>
      <w:snapToGrid w:val="0"/>
      <w:spacing w:line="360" w:lineRule="auto"/>
      <w:ind w:left="0" w:firstLine="0" w:firstLineChars="0"/>
      <w:outlineLvl w:val="0"/>
    </w:pPr>
    <w:rPr>
      <w:rFonts w:ascii="Times New Roman" w:hAnsi="Times New Roman" w:eastAsia="宋体"/>
      <w:b/>
      <w:bCs/>
      <w:color w:val="000000"/>
      <w:kern w:val="44"/>
      <w:sz w:val="30"/>
      <w:szCs w:val="30"/>
    </w:rPr>
  </w:style>
  <w:style w:type="paragraph" w:styleId="6">
    <w:name w:val="heading 2"/>
    <w:basedOn w:val="1"/>
    <w:next w:val="1"/>
    <w:link w:val="69"/>
    <w:qFormat/>
    <w:locked/>
    <w:uiPriority w:val="0"/>
    <w:pPr>
      <w:keepNext/>
      <w:keepLines/>
      <w:spacing w:before="260" w:after="260" w:line="413" w:lineRule="auto"/>
      <w:outlineLvl w:val="1"/>
    </w:pPr>
    <w:rPr>
      <w:rFonts w:ascii="Arial" w:hAnsi="Arial" w:eastAsia="黑体"/>
      <w:b/>
      <w:kern w:val="0"/>
      <w:sz w:val="32"/>
      <w:szCs w:val="20"/>
    </w:rPr>
  </w:style>
  <w:style w:type="paragraph" w:styleId="7">
    <w:name w:val="heading 3"/>
    <w:basedOn w:val="1"/>
    <w:next w:val="1"/>
    <w:unhideWhenUsed/>
    <w:qFormat/>
    <w:locked/>
    <w:uiPriority w:val="0"/>
    <w:pPr>
      <w:keepNext/>
      <w:keepLines/>
      <w:spacing w:beforeLines="0" w:beforeAutospacing="0" w:afterLines="0" w:afterAutospacing="0" w:line="360" w:lineRule="auto"/>
      <w:ind w:firstLine="0" w:firstLineChars="0"/>
      <w:outlineLvl w:val="2"/>
    </w:pPr>
    <w:rPr>
      <w:b/>
      <w:sz w:val="28"/>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customStyle="1" w:styleId="2">
    <w:name w:val="Default"/>
    <w:basedOn w:val="3"/>
    <w:next w:val="4"/>
    <w:qFormat/>
    <w:uiPriority w:val="0"/>
    <w:rPr>
      <w:rFonts w:ascii="黑体" w:eastAsia="黑体" w:cs="黑体"/>
      <w:color w:val="000000"/>
      <w:sz w:val="24"/>
      <w:szCs w:val="24"/>
    </w:rPr>
  </w:style>
  <w:style w:type="paragraph" w:customStyle="1" w:styleId="3">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4">
    <w:name w:val="Body Text First Indent 2"/>
    <w:basedOn w:val="1"/>
    <w:next w:val="1"/>
    <w:qFormat/>
    <w:locked/>
    <w:uiPriority w:val="99"/>
    <w:pPr>
      <w:adjustRightInd/>
      <w:snapToGrid/>
      <w:spacing w:line="240" w:lineRule="auto"/>
      <w:ind w:left="420" w:leftChars="200" w:firstLine="420" w:firstLineChars="200"/>
    </w:pPr>
    <w:rPr>
      <w:sz w:val="21"/>
      <w:szCs w:val="21"/>
    </w:rPr>
  </w:style>
  <w:style w:type="paragraph" w:styleId="8">
    <w:name w:val="Normal Indent"/>
    <w:basedOn w:val="1"/>
    <w:next w:val="1"/>
    <w:qFormat/>
    <w:locked/>
    <w:uiPriority w:val="0"/>
    <w:pPr>
      <w:ind w:firstLine="420"/>
    </w:pPr>
    <w:rPr>
      <w:rFonts w:ascii="Times New Roman" w:hAnsi="Times New Roman"/>
      <w:sz w:val="24"/>
      <w:szCs w:val="20"/>
    </w:rPr>
  </w:style>
  <w:style w:type="paragraph" w:styleId="9">
    <w:name w:val="annotation text"/>
    <w:basedOn w:val="1"/>
    <w:link w:val="33"/>
    <w:semiHidden/>
    <w:qFormat/>
    <w:uiPriority w:val="0"/>
    <w:pPr>
      <w:jc w:val="left"/>
    </w:pPr>
    <w:rPr>
      <w:kern w:val="0"/>
      <w:sz w:val="24"/>
      <w:szCs w:val="20"/>
    </w:rPr>
  </w:style>
  <w:style w:type="paragraph" w:styleId="10">
    <w:name w:val="Body Text 3"/>
    <w:basedOn w:val="1"/>
    <w:unhideWhenUsed/>
    <w:qFormat/>
    <w:locked/>
    <w:uiPriority w:val="1"/>
    <w:pPr>
      <w:spacing w:after="120"/>
    </w:pPr>
    <w:rPr>
      <w:sz w:val="16"/>
      <w:szCs w:val="16"/>
    </w:rPr>
  </w:style>
  <w:style w:type="paragraph" w:styleId="11">
    <w:name w:val="Body Text"/>
    <w:basedOn w:val="1"/>
    <w:next w:val="12"/>
    <w:link w:val="34"/>
    <w:qFormat/>
    <w:uiPriority w:val="0"/>
    <w:pPr>
      <w:widowControl/>
      <w:snapToGrid w:val="0"/>
      <w:spacing w:before="60" w:after="160" w:line="259" w:lineRule="auto"/>
      <w:ind w:right="113"/>
    </w:pPr>
    <w:rPr>
      <w:kern w:val="0"/>
      <w:sz w:val="18"/>
      <w:szCs w:val="20"/>
    </w:rPr>
  </w:style>
  <w:style w:type="paragraph" w:customStyle="1" w:styleId="12">
    <w:name w:val="明显引用1"/>
    <w:next w:val="1"/>
    <w:qFormat/>
    <w:uiPriority w:val="0"/>
    <w:pPr>
      <w:wordWrap w:val="0"/>
      <w:spacing w:before="360" w:beforeLines="0" w:after="360" w:afterLines="0"/>
      <w:ind w:left="950" w:right="950"/>
      <w:jc w:val="center"/>
    </w:pPr>
    <w:rPr>
      <w:rFonts w:ascii="Times New Roman" w:hAnsi="Times New Roman" w:eastAsia="宋体" w:cstheme="minorBidi"/>
      <w:i/>
      <w:sz w:val="21"/>
      <w:lang w:val="en-US" w:eastAsia="zh-CN" w:bidi="ar-SA"/>
    </w:rPr>
  </w:style>
  <w:style w:type="paragraph" w:styleId="13">
    <w:name w:val="Body Text Indent"/>
    <w:basedOn w:val="1"/>
    <w:next w:val="8"/>
    <w:link w:val="35"/>
    <w:qFormat/>
    <w:uiPriority w:val="0"/>
    <w:pPr>
      <w:spacing w:after="120"/>
      <w:ind w:left="420" w:leftChars="200"/>
    </w:pPr>
    <w:rPr>
      <w:kern w:val="0"/>
      <w:sz w:val="24"/>
      <w:szCs w:val="20"/>
    </w:rPr>
  </w:style>
  <w:style w:type="paragraph" w:styleId="14">
    <w:name w:val="Block Text"/>
    <w:basedOn w:val="1"/>
    <w:next w:val="1"/>
    <w:qFormat/>
    <w:locked/>
    <w:uiPriority w:val="0"/>
    <w:pPr>
      <w:spacing w:before="100" w:beforeAutospacing="1" w:line="360" w:lineRule="auto"/>
      <w:ind w:left="121" w:right="334" w:firstLine="509"/>
    </w:pPr>
    <w:rPr>
      <w:rFonts w:ascii="Times New Roman" w:hAnsi="Times New Roman" w:eastAsia="宋体" w:cs="Times New Roman"/>
      <w:sz w:val="24"/>
      <w:szCs w:val="20"/>
    </w:rPr>
  </w:style>
  <w:style w:type="paragraph" w:styleId="15">
    <w:name w:val="index 4"/>
    <w:basedOn w:val="1"/>
    <w:next w:val="1"/>
    <w:qFormat/>
    <w:locked/>
    <w:uiPriority w:val="0"/>
    <w:pPr>
      <w:ind w:left="600" w:leftChars="600"/>
    </w:pPr>
    <w:rPr>
      <w:rFonts w:ascii="Calibri" w:hAnsi="Calibri"/>
    </w:rPr>
  </w:style>
  <w:style w:type="paragraph" w:styleId="16">
    <w:name w:val="Date"/>
    <w:basedOn w:val="1"/>
    <w:next w:val="1"/>
    <w:link w:val="36"/>
    <w:qFormat/>
    <w:uiPriority w:val="0"/>
    <w:pPr>
      <w:ind w:left="100" w:leftChars="2500"/>
    </w:pPr>
    <w:rPr>
      <w:kern w:val="0"/>
      <w:sz w:val="24"/>
      <w:szCs w:val="20"/>
    </w:rPr>
  </w:style>
  <w:style w:type="paragraph" w:styleId="17">
    <w:name w:val="Balloon Text"/>
    <w:basedOn w:val="1"/>
    <w:link w:val="37"/>
    <w:semiHidden/>
    <w:qFormat/>
    <w:uiPriority w:val="0"/>
    <w:rPr>
      <w:kern w:val="0"/>
      <w:sz w:val="18"/>
      <w:szCs w:val="20"/>
    </w:rPr>
  </w:style>
  <w:style w:type="paragraph" w:styleId="18">
    <w:name w:val="footer"/>
    <w:basedOn w:val="1"/>
    <w:link w:val="38"/>
    <w:qFormat/>
    <w:uiPriority w:val="99"/>
    <w:pPr>
      <w:tabs>
        <w:tab w:val="center" w:pos="4153"/>
        <w:tab w:val="right" w:pos="8306"/>
      </w:tabs>
      <w:snapToGrid w:val="0"/>
      <w:jc w:val="left"/>
    </w:pPr>
    <w:rPr>
      <w:kern w:val="0"/>
      <w:sz w:val="18"/>
      <w:szCs w:val="20"/>
    </w:rPr>
  </w:style>
  <w:style w:type="paragraph" w:styleId="19">
    <w:name w:val="header"/>
    <w:basedOn w:val="1"/>
    <w:next w:val="20"/>
    <w:link w:val="39"/>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20">
    <w:name w:val="样式5"/>
    <w:basedOn w:val="21"/>
    <w:qFormat/>
    <w:uiPriority w:val="0"/>
  </w:style>
  <w:style w:type="paragraph" w:styleId="21">
    <w:name w:val="toc 2"/>
    <w:basedOn w:val="1"/>
    <w:next w:val="1"/>
    <w:qFormat/>
    <w:locked/>
    <w:uiPriority w:val="0"/>
    <w:pPr>
      <w:spacing w:line="360" w:lineRule="auto"/>
      <w:ind w:left="200" w:leftChars="200"/>
    </w:pPr>
    <w:rPr>
      <w:sz w:val="28"/>
      <w:szCs w:val="28"/>
    </w:rPr>
  </w:style>
  <w:style w:type="paragraph" w:styleId="22">
    <w:name w:val="Normal (Web)"/>
    <w:basedOn w:val="1"/>
    <w:link w:val="40"/>
    <w:qFormat/>
    <w:uiPriority w:val="0"/>
    <w:pPr>
      <w:widowControl/>
      <w:spacing w:before="100" w:beforeAutospacing="1" w:after="100" w:afterAutospacing="1"/>
      <w:jc w:val="left"/>
    </w:pPr>
    <w:rPr>
      <w:rFonts w:ascii="宋体" w:hAnsi="宋体"/>
      <w:kern w:val="0"/>
      <w:sz w:val="24"/>
      <w:szCs w:val="20"/>
    </w:rPr>
  </w:style>
  <w:style w:type="paragraph" w:styleId="23">
    <w:name w:val="annotation subject"/>
    <w:basedOn w:val="9"/>
    <w:next w:val="9"/>
    <w:link w:val="41"/>
    <w:semiHidden/>
    <w:qFormat/>
    <w:uiPriority w:val="0"/>
    <w:rPr>
      <w:b/>
      <w:sz w:val="24"/>
      <w:szCs w:val="20"/>
    </w:rPr>
  </w:style>
  <w:style w:type="paragraph" w:styleId="24">
    <w:name w:val="Body Text First Indent"/>
    <w:basedOn w:val="11"/>
    <w:next w:val="1"/>
    <w:qFormat/>
    <w:locked/>
    <w:uiPriority w:val="0"/>
    <w:pPr>
      <w:ind w:firstLine="420" w:firstLineChars="100"/>
    </w:pPr>
  </w:style>
  <w:style w:type="table" w:styleId="26">
    <w:name w:val="Table Grid"/>
    <w:basedOn w:val="2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locked/>
    <w:uiPriority w:val="0"/>
    <w:rPr>
      <w:b/>
    </w:rPr>
  </w:style>
  <w:style w:type="character" w:styleId="29">
    <w:name w:val="page number"/>
    <w:basedOn w:val="27"/>
    <w:qFormat/>
    <w:locked/>
    <w:uiPriority w:val="0"/>
  </w:style>
  <w:style w:type="character" w:styleId="30">
    <w:name w:val="Hyperlink"/>
    <w:basedOn w:val="27"/>
    <w:qFormat/>
    <w:locked/>
    <w:uiPriority w:val="0"/>
    <w:rPr>
      <w:color w:val="0000FF"/>
      <w:u w:val="single"/>
    </w:rPr>
  </w:style>
  <w:style w:type="character" w:styleId="31">
    <w:name w:val="annotation reference"/>
    <w:semiHidden/>
    <w:qFormat/>
    <w:uiPriority w:val="0"/>
    <w:rPr>
      <w:sz w:val="21"/>
    </w:rPr>
  </w:style>
  <w:style w:type="paragraph" w:customStyle="1" w:styleId="32">
    <w:name w:val="纯文本1"/>
    <w:basedOn w:val="1"/>
    <w:qFormat/>
    <w:uiPriority w:val="0"/>
    <w:pPr>
      <w:autoSpaceDE w:val="0"/>
      <w:autoSpaceDN w:val="0"/>
      <w:adjustRightInd w:val="0"/>
      <w:textAlignment w:val="baseline"/>
    </w:pPr>
    <w:rPr>
      <w:rFonts w:ascii="宋体"/>
      <w:szCs w:val="20"/>
    </w:rPr>
  </w:style>
  <w:style w:type="character" w:customStyle="1" w:styleId="33">
    <w:name w:val="批注文字 Char"/>
    <w:link w:val="9"/>
    <w:qFormat/>
    <w:locked/>
    <w:uiPriority w:val="0"/>
    <w:rPr>
      <w:rFonts w:ascii="Times New Roman" w:hAnsi="Times New Roman" w:eastAsia="宋体"/>
      <w:sz w:val="24"/>
    </w:rPr>
  </w:style>
  <w:style w:type="character" w:customStyle="1" w:styleId="34">
    <w:name w:val="正文文本 Char"/>
    <w:link w:val="11"/>
    <w:qFormat/>
    <w:locked/>
    <w:uiPriority w:val="0"/>
    <w:rPr>
      <w:sz w:val="18"/>
    </w:rPr>
  </w:style>
  <w:style w:type="character" w:customStyle="1" w:styleId="35">
    <w:name w:val="正文文本缩进 Char"/>
    <w:link w:val="13"/>
    <w:semiHidden/>
    <w:qFormat/>
    <w:locked/>
    <w:uiPriority w:val="0"/>
    <w:rPr>
      <w:rFonts w:ascii="Times New Roman" w:hAnsi="Times New Roman" w:eastAsia="宋体"/>
      <w:sz w:val="24"/>
    </w:rPr>
  </w:style>
  <w:style w:type="character" w:customStyle="1" w:styleId="36">
    <w:name w:val="日期 Char"/>
    <w:link w:val="16"/>
    <w:qFormat/>
    <w:locked/>
    <w:uiPriority w:val="0"/>
    <w:rPr>
      <w:rFonts w:ascii="Times New Roman" w:hAnsi="Times New Roman" w:eastAsia="宋体"/>
      <w:sz w:val="24"/>
    </w:rPr>
  </w:style>
  <w:style w:type="character" w:customStyle="1" w:styleId="37">
    <w:name w:val="批注框文本 Char"/>
    <w:link w:val="17"/>
    <w:semiHidden/>
    <w:qFormat/>
    <w:locked/>
    <w:uiPriority w:val="0"/>
    <w:rPr>
      <w:rFonts w:ascii="Times New Roman" w:hAnsi="Times New Roman" w:eastAsia="宋体"/>
      <w:sz w:val="18"/>
    </w:rPr>
  </w:style>
  <w:style w:type="character" w:customStyle="1" w:styleId="38">
    <w:name w:val="页脚 Char"/>
    <w:link w:val="18"/>
    <w:qFormat/>
    <w:locked/>
    <w:uiPriority w:val="99"/>
    <w:rPr>
      <w:sz w:val="18"/>
    </w:rPr>
  </w:style>
  <w:style w:type="character" w:customStyle="1" w:styleId="39">
    <w:name w:val="页眉 Char"/>
    <w:link w:val="19"/>
    <w:qFormat/>
    <w:locked/>
    <w:uiPriority w:val="0"/>
    <w:rPr>
      <w:sz w:val="18"/>
    </w:rPr>
  </w:style>
  <w:style w:type="character" w:customStyle="1" w:styleId="40">
    <w:name w:val="普通(网站) Char"/>
    <w:link w:val="22"/>
    <w:qFormat/>
    <w:locked/>
    <w:uiPriority w:val="0"/>
    <w:rPr>
      <w:rFonts w:ascii="宋体" w:hAnsi="宋体" w:eastAsia="宋体"/>
      <w:sz w:val="24"/>
    </w:rPr>
  </w:style>
  <w:style w:type="character" w:customStyle="1" w:styleId="41">
    <w:name w:val="批注主题 Char"/>
    <w:link w:val="23"/>
    <w:semiHidden/>
    <w:qFormat/>
    <w:locked/>
    <w:uiPriority w:val="0"/>
    <w:rPr>
      <w:rFonts w:ascii="Times New Roman" w:hAnsi="Times New Roman" w:eastAsia="宋体"/>
      <w:b/>
      <w:kern w:val="2"/>
      <w:sz w:val="24"/>
    </w:rPr>
  </w:style>
  <w:style w:type="paragraph" w:customStyle="1" w:styleId="42">
    <w:name w:val="Normal (Web)1"/>
    <w:basedOn w:val="1"/>
    <w:next w:val="43"/>
    <w:qFormat/>
    <w:uiPriority w:val="0"/>
    <w:pPr>
      <w:widowControl/>
    </w:pPr>
    <w:rPr>
      <w:rFonts w:ascii="宋体" w:eastAsia="宋体" w:cs="Times New Roman"/>
      <w:sz w:val="24"/>
      <w:szCs w:val="21"/>
    </w:rPr>
  </w:style>
  <w:style w:type="paragraph" w:customStyle="1" w:styleId="43">
    <w:name w:val="Date1"/>
    <w:basedOn w:val="1"/>
    <w:next w:val="1"/>
    <w:qFormat/>
    <w:uiPriority w:val="0"/>
    <w:pPr>
      <w:ind w:left="2500" w:leftChars="2500"/>
    </w:pPr>
  </w:style>
  <w:style w:type="paragraph" w:customStyle="1" w:styleId="44">
    <w:name w:val="样式 正文文本缩进 + 行距: 1.5 倍行距"/>
    <w:basedOn w:val="1"/>
    <w:qFormat/>
    <w:uiPriority w:val="0"/>
    <w:pPr>
      <w:spacing w:after="120" w:line="360" w:lineRule="auto"/>
      <w:ind w:left="90" w:leftChars="32" w:firstLine="560" w:firstLineChars="200"/>
    </w:pPr>
    <w:rPr>
      <w:rFonts w:cs="宋体"/>
      <w:sz w:val="24"/>
    </w:rPr>
  </w:style>
  <w:style w:type="character" w:customStyle="1" w:styleId="45">
    <w:name w:val="页脚 字符"/>
    <w:basedOn w:val="27"/>
    <w:qFormat/>
    <w:uiPriority w:val="99"/>
  </w:style>
  <w:style w:type="character" w:customStyle="1" w:styleId="46">
    <w:name w:val="正文文本 字符1"/>
    <w:semiHidden/>
    <w:qFormat/>
    <w:uiPriority w:val="0"/>
    <w:rPr>
      <w:rFonts w:ascii="Times New Roman" w:hAnsi="Times New Roman" w:eastAsia="宋体"/>
      <w:sz w:val="24"/>
    </w:rPr>
  </w:style>
  <w:style w:type="character" w:customStyle="1" w:styleId="47">
    <w:name w:val="表格 Char"/>
    <w:link w:val="48"/>
    <w:qFormat/>
    <w:locked/>
    <w:uiPriority w:val="0"/>
    <w:rPr>
      <w:rFonts w:ascii="宋体"/>
      <w:sz w:val="21"/>
    </w:rPr>
  </w:style>
  <w:style w:type="paragraph" w:customStyle="1" w:styleId="48">
    <w:name w:val="表格"/>
    <w:basedOn w:val="1"/>
    <w:next w:val="1"/>
    <w:link w:val="47"/>
    <w:qFormat/>
    <w:uiPriority w:val="0"/>
    <w:pPr>
      <w:adjustRightInd w:val="0"/>
      <w:snapToGrid w:val="0"/>
      <w:spacing w:beforeLines="10" w:afterLines="10" w:line="259" w:lineRule="auto"/>
      <w:jc w:val="center"/>
    </w:pPr>
    <w:rPr>
      <w:rFonts w:ascii="宋体"/>
      <w:kern w:val="0"/>
      <w:szCs w:val="20"/>
    </w:rPr>
  </w:style>
  <w:style w:type="character" w:customStyle="1" w:styleId="49">
    <w:name w:val="日期 字符"/>
    <w:semiHidden/>
    <w:qFormat/>
    <w:uiPriority w:val="0"/>
    <w:rPr>
      <w:rFonts w:ascii="Times New Roman" w:hAnsi="Times New Roman" w:eastAsia="宋体"/>
      <w:sz w:val="24"/>
    </w:rPr>
  </w:style>
  <w:style w:type="character" w:customStyle="1" w:styleId="50">
    <w:name w:val="批注文字 字符1"/>
    <w:semiHidden/>
    <w:qFormat/>
    <w:uiPriority w:val="0"/>
    <w:rPr>
      <w:rFonts w:ascii="Times New Roman" w:hAnsi="Times New Roman" w:eastAsia="宋体"/>
      <w:sz w:val="24"/>
    </w:rPr>
  </w:style>
  <w:style w:type="paragraph" w:customStyle="1" w:styleId="51">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53">
    <w:name w:val="正文4号"/>
    <w:qFormat/>
    <w:uiPriority w:val="0"/>
    <w:pPr>
      <w:widowControl w:val="0"/>
      <w:adjustRightInd w:val="0"/>
      <w:snapToGrid w:val="0"/>
      <w:spacing w:line="360" w:lineRule="auto"/>
      <w:ind w:firstLine="200" w:firstLineChars="200"/>
      <w:jc w:val="both"/>
    </w:pPr>
    <w:rPr>
      <w:rFonts w:ascii="Times New Roman" w:hAnsi="Times New Roman" w:eastAsia="宋体" w:cs="Times New Roman"/>
      <w:kern w:val="24"/>
      <w:sz w:val="24"/>
      <w:szCs w:val="24"/>
      <w:lang w:val="en-US" w:eastAsia="zh-CN" w:bidi="ar-SA"/>
    </w:rPr>
  </w:style>
  <w:style w:type="paragraph" w:customStyle="1" w:styleId="54">
    <w:name w:val="0正文"/>
    <w:basedOn w:val="1"/>
    <w:qFormat/>
    <w:uiPriority w:val="0"/>
    <w:pPr>
      <w:spacing w:line="360" w:lineRule="auto"/>
      <w:ind w:firstLine="480" w:firstLineChars="200"/>
    </w:pPr>
    <w:rPr>
      <w:sz w:val="24"/>
      <w:szCs w:val="22"/>
    </w:rPr>
  </w:style>
  <w:style w:type="paragraph" w:customStyle="1" w:styleId="55">
    <w:name w:val="XQ表格文字"/>
    <w:basedOn w:val="1"/>
    <w:qFormat/>
    <w:uiPriority w:val="0"/>
    <w:pPr>
      <w:tabs>
        <w:tab w:val="left" w:pos="420"/>
        <w:tab w:val="center" w:pos="623"/>
      </w:tabs>
      <w:adjustRightInd w:val="0"/>
      <w:snapToGrid w:val="0"/>
      <w:jc w:val="center"/>
    </w:pPr>
    <w:rPr>
      <w:color w:val="000000"/>
      <w:kern w:val="0"/>
      <w:szCs w:val="21"/>
    </w:rPr>
  </w:style>
  <w:style w:type="paragraph" w:customStyle="1" w:styleId="56">
    <w:name w:val="01报告正文"/>
    <w:basedOn w:val="1"/>
    <w:qFormat/>
    <w:uiPriority w:val="0"/>
    <w:pPr>
      <w:widowControl/>
      <w:spacing w:line="360" w:lineRule="auto"/>
      <w:ind w:firstLine="200" w:firstLineChars="200"/>
    </w:pPr>
    <w:rPr>
      <w:kern w:val="0"/>
      <w:sz w:val="24"/>
      <w:szCs w:val="20"/>
    </w:rPr>
  </w:style>
  <w:style w:type="paragraph" w:customStyle="1" w:styleId="57">
    <w:name w:val="Table Paragraph"/>
    <w:basedOn w:val="1"/>
    <w:qFormat/>
    <w:uiPriority w:val="1"/>
    <w:pPr>
      <w:jc w:val="left"/>
    </w:pPr>
    <w:rPr>
      <w:rFonts w:ascii="Calibri" w:hAnsi="Calibri"/>
      <w:kern w:val="0"/>
      <w:sz w:val="22"/>
      <w:szCs w:val="22"/>
      <w:lang w:eastAsia="en-US"/>
    </w:rPr>
  </w:style>
  <w:style w:type="character" w:customStyle="1" w:styleId="58">
    <w:name w:val="font11"/>
    <w:basedOn w:val="27"/>
    <w:qFormat/>
    <w:uiPriority w:val="0"/>
    <w:rPr>
      <w:rFonts w:hint="eastAsia" w:ascii="宋体" w:hAnsi="宋体" w:eastAsia="宋体" w:cs="宋体"/>
      <w:color w:val="000000"/>
      <w:sz w:val="21"/>
      <w:szCs w:val="21"/>
      <w:u w:val="none"/>
    </w:rPr>
  </w:style>
  <w:style w:type="character" w:customStyle="1" w:styleId="59">
    <w:name w:val="font21"/>
    <w:basedOn w:val="27"/>
    <w:qFormat/>
    <w:uiPriority w:val="0"/>
    <w:rPr>
      <w:rFonts w:hint="eastAsia" w:ascii="宋体" w:hAnsi="宋体" w:eastAsia="宋体" w:cs="宋体"/>
      <w:color w:val="000000"/>
      <w:sz w:val="24"/>
      <w:szCs w:val="24"/>
      <w:u w:val="none"/>
    </w:rPr>
  </w:style>
  <w:style w:type="paragraph" w:customStyle="1" w:styleId="60">
    <w:name w:val="我的正文 Char"/>
    <w:basedOn w:val="1"/>
    <w:qFormat/>
    <w:uiPriority w:val="99"/>
    <w:pPr>
      <w:ind w:firstLine="560" w:firstLineChars="200"/>
    </w:pPr>
    <w:rPr>
      <w:sz w:val="28"/>
    </w:rPr>
  </w:style>
  <w:style w:type="paragraph" w:customStyle="1" w:styleId="61">
    <w:name w:val="Table Text"/>
    <w:basedOn w:val="1"/>
    <w:semiHidden/>
    <w:qFormat/>
    <w:uiPriority w:val="0"/>
    <w:rPr>
      <w:rFonts w:ascii="Times New Roman" w:eastAsia="Times New Roman"/>
      <w:sz w:val="24"/>
      <w:szCs w:val="24"/>
      <w:lang w:eastAsia="en-US"/>
    </w:rPr>
  </w:style>
  <w:style w:type="paragraph" w:styleId="62">
    <w:name w:val="No Spacing"/>
    <w:qFormat/>
    <w:uiPriority w:val="0"/>
    <w:pPr>
      <w:widowControl w:val="0"/>
      <w:jc w:val="both"/>
    </w:pPr>
    <w:rPr>
      <w:rFonts w:ascii="Times New Roman" w:hAnsi="Times New Roman" w:eastAsia="宋体" w:cs="Times New Roman"/>
      <w:kern w:val="2"/>
      <w:sz w:val="28"/>
      <w:szCs w:val="22"/>
      <w:lang w:val="en-US" w:eastAsia="zh-CN" w:bidi="ar-SA"/>
    </w:rPr>
  </w:style>
  <w:style w:type="paragraph" w:customStyle="1" w:styleId="63">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4">
    <w:name w:val="图表文字"/>
    <w:basedOn w:val="11"/>
    <w:qFormat/>
    <w:uiPriority w:val="0"/>
    <w:pPr>
      <w:widowControl w:val="0"/>
      <w:snapToGrid/>
      <w:spacing w:before="0" w:after="0" w:line="240" w:lineRule="auto"/>
      <w:ind w:right="0"/>
      <w:jc w:val="center"/>
    </w:pPr>
    <w:rPr>
      <w:rFonts w:eastAsia="宋体" w:cs="Times New Roman"/>
      <w:snapToGrid w:val="0"/>
      <w:kern w:val="2"/>
      <w:sz w:val="21"/>
      <w:szCs w:val="24"/>
    </w:rPr>
  </w:style>
  <w:style w:type="paragraph" w:customStyle="1" w:styleId="65">
    <w:name w:val="报告表格"/>
    <w:basedOn w:val="1"/>
    <w:qFormat/>
    <w:uiPriority w:val="0"/>
    <w:pPr>
      <w:autoSpaceDE w:val="0"/>
      <w:autoSpaceDN w:val="0"/>
      <w:adjustRightInd w:val="0"/>
      <w:spacing w:before="40" w:after="40"/>
      <w:ind w:firstLine="200" w:firstLineChars="200"/>
      <w:jc w:val="center"/>
      <w:textAlignment w:val="bottom"/>
    </w:pPr>
    <w:rPr>
      <w:kern w:val="0"/>
      <w:szCs w:val="20"/>
      <w:lang w:val="en-GB" w:eastAsia="zh-TW"/>
    </w:rPr>
  </w:style>
  <w:style w:type="paragraph" w:customStyle="1" w:styleId="66">
    <w:name w:val="正文缩进1"/>
    <w:basedOn w:val="1"/>
    <w:autoRedefine/>
    <w:qFormat/>
    <w:uiPriority w:val="0"/>
    <w:pPr>
      <w:ind w:firstLine="420" w:firstLineChars="200"/>
    </w:pPr>
  </w:style>
  <w:style w:type="character" w:customStyle="1" w:styleId="67">
    <w:name w:val="标题 1 Char"/>
    <w:link w:val="5"/>
    <w:qFormat/>
    <w:uiPriority w:val="99"/>
    <w:rPr>
      <w:rFonts w:ascii="Times New Roman" w:hAnsi="Times New Roman" w:eastAsia="宋体"/>
      <w:b/>
      <w:bCs/>
      <w:color w:val="000000"/>
      <w:kern w:val="44"/>
      <w:sz w:val="30"/>
      <w:szCs w:val="30"/>
    </w:rPr>
  </w:style>
  <w:style w:type="character" w:customStyle="1" w:styleId="68">
    <w:name w:val="样式 正文缩进表正文正文非缩进 + Char Char"/>
    <w:qFormat/>
    <w:locked/>
    <w:uiPriority w:val="0"/>
    <w:rPr>
      <w:rFonts w:ascii="宋体" w:hAnsi="宋体"/>
      <w:kern w:val="2"/>
      <w:sz w:val="28"/>
      <w:szCs w:val="24"/>
    </w:rPr>
  </w:style>
  <w:style w:type="character" w:customStyle="1" w:styleId="69">
    <w:name w:val="标题 2 Char"/>
    <w:link w:val="6"/>
    <w:qFormat/>
    <w:uiPriority w:val="0"/>
    <w:rPr>
      <w:rFonts w:ascii="Arial" w:hAnsi="Arial" w:eastAsia="黑体"/>
      <w:b/>
      <w:kern w:val="0"/>
      <w:sz w:val="32"/>
      <w:szCs w:val="20"/>
    </w:rPr>
  </w:style>
  <w:style w:type="character" w:customStyle="1" w:styleId="70">
    <w:name w:val="正文文本 + SimHei9"/>
    <w:autoRedefine/>
    <w:qFormat/>
    <w:uiPriority w:val="0"/>
    <w:rPr>
      <w:rFonts w:ascii="黑体" w:hAnsi="黑体" w:eastAsia="Arial Unicode MS" w:cs="黑体"/>
      <w:sz w:val="21"/>
      <w:szCs w:val="21"/>
      <w:u w:val="none"/>
    </w:rPr>
  </w:style>
  <w:style w:type="character" w:customStyle="1" w:styleId="71">
    <w:name w:val="font61"/>
    <w:basedOn w:val="27"/>
    <w:qFormat/>
    <w:uiPriority w:val="0"/>
    <w:rPr>
      <w:rFonts w:hint="eastAsia" w:ascii="宋体" w:hAnsi="宋体" w:eastAsia="宋体" w:cs="宋体"/>
      <w:b/>
      <w:bCs/>
      <w:color w:val="000000"/>
      <w:sz w:val="20"/>
      <w:szCs w:val="20"/>
      <w:u w:val="none"/>
    </w:rPr>
  </w:style>
  <w:style w:type="character" w:customStyle="1" w:styleId="72">
    <w:name w:val="font51"/>
    <w:basedOn w:val="27"/>
    <w:qFormat/>
    <w:uiPriority w:val="0"/>
    <w:rPr>
      <w:rFonts w:hint="eastAsia" w:ascii="宋体" w:hAnsi="宋体" w:eastAsia="宋体" w:cs="宋体"/>
      <w:color w:val="000000"/>
      <w:sz w:val="20"/>
      <w:szCs w:val="20"/>
      <w:u w:val="none"/>
    </w:rPr>
  </w:style>
  <w:style w:type="character" w:customStyle="1" w:styleId="73">
    <w:name w:val="font31"/>
    <w:basedOn w:val="27"/>
    <w:qFormat/>
    <w:uiPriority w:val="0"/>
    <w:rPr>
      <w:rFonts w:hint="default" w:ascii="Times New Roman" w:hAnsi="Times New Roman" w:cs="Times New Roman"/>
      <w:color w:val="000000"/>
      <w:sz w:val="20"/>
      <w:szCs w:val="20"/>
      <w:u w:val="none"/>
    </w:rPr>
  </w:style>
  <w:style w:type="character" w:customStyle="1" w:styleId="74">
    <w:name w:val="font41"/>
    <w:basedOn w:val="27"/>
    <w:qFormat/>
    <w:uiPriority w:val="0"/>
    <w:rPr>
      <w:rFonts w:hint="eastAsia" w:ascii="宋体" w:hAnsi="宋体" w:eastAsia="宋体" w:cs="宋体"/>
      <w:color w:val="000000"/>
      <w:sz w:val="20"/>
      <w:szCs w:val="20"/>
      <w:u w:val="none"/>
    </w:rPr>
  </w:style>
  <w:style w:type="paragraph" w:customStyle="1" w:styleId="75">
    <w:name w:val="报告表正文"/>
    <w:basedOn w:val="1"/>
    <w:qFormat/>
    <w:uiPriority w:val="0"/>
    <w:pPr>
      <w:wordWrap w:val="0"/>
      <w:topLinePunct/>
      <w:adjustRightInd w:val="0"/>
      <w:spacing w:line="360" w:lineRule="auto"/>
      <w:ind w:left="0" w:right="0" w:firstLine="488"/>
      <w:jc w:val="left"/>
      <w:textAlignment w:val="baseline"/>
    </w:pPr>
    <w:rPr>
      <w:rFonts w:ascii="Times New Roman" w:hAnsi="Times New Roman" w:eastAsia="Times New Roman" w:cs="宋体"/>
      <w:sz w:val="21"/>
      <w:szCs w:val="20"/>
    </w:rPr>
  </w:style>
  <w:style w:type="paragraph" w:customStyle="1" w:styleId="76">
    <w:name w:val="表格内容"/>
    <w:basedOn w:val="1"/>
    <w:next w:val="1"/>
    <w:qFormat/>
    <w:uiPriority w:val="0"/>
    <w:pPr>
      <w:wordWrap/>
      <w:adjustRightInd w:val="0"/>
      <w:snapToGrid w:val="0"/>
      <w:spacing w:line="320" w:lineRule="exact"/>
      <w:ind w:firstLine="0" w:firstLineChars="0"/>
      <w:jc w:val="center"/>
    </w:pPr>
    <w:rPr>
      <w:sz w:val="21"/>
      <w:szCs w:val="21"/>
    </w:rPr>
  </w:style>
  <w:style w:type="paragraph" w:customStyle="1" w:styleId="77">
    <w:name w:val="表、图标题"/>
    <w:basedOn w:val="1"/>
    <w:qFormat/>
    <w:uiPriority w:val="0"/>
    <w:pPr>
      <w:spacing w:line="240" w:lineRule="auto"/>
      <w:jc w:val="center"/>
    </w:pPr>
    <w:rPr>
      <w:b/>
      <w:color w:val="000000"/>
      <w:sz w:val="21"/>
    </w:rPr>
  </w:style>
  <w:style w:type="table" w:customStyle="1" w:styleId="7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"/>
    </extobj>
    <extobj name="ECB019B1-382A-4266-B25C-5B523AA43C14-2">
      <extobjdata type="ECB019B1-382A-4266-B25C-5B523AA43C14" data="ewoJIkZpbGVJZCIgOiAiNTE0MTE4OTkyNTY1IiwKCSJHcm91cElkIiA6ICI2NzYyMjM4ODQiLAoJIkltYWdlIiA6ICJpVkJPUncwS0dnb0FBQUFOU1VoRVVnQUFBcWdBQUFSUUNBWUFBQUFocWFNU0FBQUFBWE5TUjBJQXJzNGM2UUFBSUFCSlJFRlVlSnpzM1hsNEZGWFdCK0RmcWVwT0dyS1FBQkhVb0ZHaXhFaVN2dFU0eWpjNklvcmpPQ3JneUlnTElwdml1S0dvS0lxZ29vSXlBZ3JLQ0l5Q0d5cUN1Q0M0Z0RPSUM1Q3FUb0FJa3RHb1VXUU5DU0VrNmU0NjN4K3BianNoZ1JEQkJEM3Y4L0RRZGV2ZVc3ZUtrSnpjclFB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"/>
    </extobj>
  </extobjs>
</s:customData>
</file>

<file path=customXml/item2.xml><?xml version="1.0" encoding="utf-8"?>
<contractReview xmlns="http://schemas.wps.cn/vas-ai-hub/contract-review">
  <reviewItems>
    <reviewItem>
      <errorID>ff03407a-bd06-4291-a233-781c6f76674a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1A6F4CB3</paraID>
      <start>27</start>
      <end>28</end>
      <status>unmodified</status>
      <modifiedWord/>
      <trackRevisions>false</trackRevisions>
    </reviewItem>
    <reviewItem>
      <errorID>7df6e7db-a460-402f-8cde-de08f51dfd53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40C47B1B</paraID>
      <start>21</start>
      <end>22</end>
      <status>unmodified</status>
      <modifiedWord/>
      <trackRevisions>false</trackRevisions>
    </reviewItem>
    <reviewItem>
      <errorID>256cc899-2a5d-4dfd-907f-30adbfa2e91e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1CD0F781</paraID>
      <start>22</start>
      <end>23</end>
      <status>unmodified</status>
      <modifiedWord/>
      <trackRevisions>false</trackRevisions>
    </reviewItem>
    <reviewItem>
      <errorID>a469ff59-5630-42ab-aa35-aa5c38b24816</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60E06ECD</paraID>
      <start>31</start>
      <end>51</end>
      <status>modified</status>
      <modifiedWord>《产业结构调整指导目录（2024年本）》</modifiedWord>
      <trackRevisions>false</trackRevisions>
    </reviewItem>
    <reviewItem>
      <errorID>993329cd-00ee-43d2-8fd3-12d06b782c63</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77315DA</paraID>
      <start>68</start>
      <end>70</end>
      <status>unmodified</status>
      <modifiedWord/>
      <trackRevisions>false</trackRevisions>
    </reviewItem>
    <reviewItem>
      <errorID>cd52a5e3-2a43-43bc-9e56-a351dc3826cf</errorID>
      <errorWord>上线</errorWord>
      <group>L1_Word</group>
      <groupName>字词问题</groupName>
      <ability>L2_Typo</ability>
      <abilityName>字词错误</abilityName>
      <candidateList>
        <item>上限</item>
      </candidateList>
      <explain/>
      <paraID>636722FC</paraID>
      <start>65</start>
      <end>67</end>
      <status>unmodified</status>
      <modifiedWord/>
      <trackRevisions>false</trackRevisions>
    </reviewItem>
    <reviewItem>
      <errorID>6bdc17ea-e726-4d9c-a59a-85f7b2211044</errorID>
      <errorWord>(</errorWord>
      <group>L1_Format</group>
      <groupName>格式问题</groupName>
      <ability>L2_HalfPunc</ability>
      <abilityName>全半角检查</abilityName>
      <candidateList>
        <item>（</item>
      </candidateList>
      <explain>文本全半角错误。</explain>
      <paraID>3429DDF2</paraID>
      <start>1</start>
      <end>2</end>
      <status>unmodified</status>
      <modifiedWord/>
      <trackRevisions>false</trackRevisions>
    </reviewItem>
    <reviewItem>
      <errorID>e3c6b750-03a0-441c-b396-aff91ef87cf9</errorID>
      <errorWord>)</errorWord>
      <group>L1_Format</group>
      <groupName>格式问题</groupName>
      <ability>L2_HalfPunc</ability>
      <abilityName>全半角检查</abilityName>
      <candidateList>
        <item>）</item>
      </candidateList>
      <explain>文本全半角错误。</explain>
      <paraID>3429DDF2</paraID>
      <start>3</start>
      <end>4</end>
      <status>unmodified</status>
      <modifiedWord/>
      <trackRevisions>false</trackRevisions>
    </reviewItem>
    <reviewItem>
      <errorID>073cfb8e-4647-4b72-8988-d94f0207250a</errorID>
      <errorWord>城乡结合部</errorWord>
      <group>L1_Knowledge</group>
      <groupName>知识性问题</groupName>
      <ability>L2_Knowledge</ability>
      <abilityName>其他知识</abilityName>
      <candidateList>
        <item>城乡接合部</item>
      </candidateList>
      <explain/>
      <paraID>2685C359</paraID>
      <start>15</start>
      <end>20</end>
      <status>unmodified</status>
      <modifiedWord/>
      <trackRevisions>false</trackRevisions>
    </reviewItem>
    <reviewItem>
      <errorID>2394459f-ee6e-431a-8840-6205c46b7408</errorID>
      <errorWord>规</errorWord>
      <group>L1_Word</group>
      <groupName>字词问题</groupName>
      <ability>L2_Typo</ability>
      <abilityName>字词错误</abilityName>
      <candidateList>
        <item>规和</item>
      </candidateList>
      <explain/>
      <paraID>6C0D9E85</paraID>
      <start>15</start>
      <end>16</end>
      <status>unmodified</status>
      <modifiedWord/>
      <trackRevisions>false</trackRevisions>
    </reviewItem>
    <reviewItem>
      <errorID>991b61e1-1123-4f6c-a747-2c891a4b0a05</errorID>
      <errorWord>加强</errorWord>
      <group>L1_Grammar</group>
      <groupName>语法问题</groupName>
      <ability>L2_Grammar</ability>
      <abilityName>语法错误</abilityName>
      <candidateList>
        <item>加大</item>
      </candidateList>
      <explain>“加强～力度”搭配不当，建议修改为“加大～力度”。</explain>
      <paraID> 7F368CF</paraID>
      <start>9</start>
      <end>11</end>
      <status>unmodified</status>
      <modifiedWord/>
      <trackRevisions>false</trackRevisions>
    </reviewItem>
    <reviewItem>
      <errorID>4a733984-5724-4da0-9c13-cbf9b746713a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2B993FDF</paraID>
      <start>25</start>
      <end>26</end>
      <status>unmodified</status>
      <modifiedWord/>
      <trackRevisions>false</trackRevisions>
    </reviewItem>
    <reviewItem>
      <errorID>db6d711b-0d8e-4fea-a034-c24cc3812478</errorID>
      <errorWord>【2022】65号</errorWord>
      <group>L1_Knowledge</group>
      <groupName>知识性问题</groupName>
      <ability>L2_Knowledge</ability>
      <abilityName>其他知识</abilityName>
      <candidateList>
        <item>〔2022〕65号</item>
      </candidateList>
      <explain>发文字号格式错误。</explain>
      <paraID>72E6CC3F</paraID>
      <start>42</start>
      <end>51</end>
      <status>unmodified</status>
      <modifiedWord/>
      <trackRevisions>false</trackRevisions>
    </reviewItem>
    <reviewItem>
      <errorID>f7bb0e3a-73bb-442c-a9da-313faa7cab3a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649411C6</paraID>
      <start>0</start>
      <end>3</end>
      <status>unmodified</status>
      <modifiedWord/>
      <trackRevisions>false</trackRevisions>
    </reviewItem>
    <reviewItem>
      <errorID>617c15c9-772e-4e72-9913-b8ab0861bf25</errorID>
      <errorWord>或其</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649411C6</paraID>
      <start>99</start>
      <end>101</end>
      <status>unmodified</status>
      <modifiedWord/>
      <trackRevisions>false</trackRevisions>
    </reviewItem>
    <reviewItem>
      <errorID>a791a583-f46e-47d4-8ff2-0bfb03a1c3f5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56BAE951</paraID>
      <start>0</start>
      <end>3</end>
      <status>unmodified</status>
      <modifiedWord/>
      <trackRevisions>false</trackRevisions>
    </reviewItem>
    <reviewItem>
      <errorID>c33cac90-f1b6-4628-b8e1-ffa253589c4f</errorID>
      <errorWord>(</errorWord>
      <group>L1_Format</group>
      <groupName>格式问题</groupName>
      <ability>L2_HalfPunc</ability>
      <abilityName>全半角检查</abilityName>
      <candidateList>
        <item>（</item>
      </candidateList>
      <explain>文本全半角错误。</explain>
      <paraID>56BAE951</paraID>
      <start>48</start>
      <end>49</end>
      <status>unmodified</status>
      <modifiedWord/>
      <trackRevisions>false</trackRevisions>
    </reviewItem>
    <reviewItem>
      <errorID>79f3e3be-d5c2-4fd2-ba98-93987825e330</errorID>
      <errorWord>)</errorWord>
      <group>L1_Format</group>
      <groupName>格式问题</groupName>
      <ability>L2_HalfPunc</ability>
      <abilityName>全半角检查</abilityName>
      <candidateList>
        <item>）</item>
      </candidateList>
      <explain>文本全半角错误。</explain>
      <paraID>56BAE951</paraID>
      <start>54</start>
      <end>55</end>
      <status>unmodified</status>
      <modifiedWord/>
      <trackRevisions>false</trackRevisions>
    </reviewItem>
    <reviewItem>
      <errorID>97e4b0e3-2b7f-47bb-a9cc-677cbd5d7074</errorID>
      <errorWord>(</errorWord>
      <group>L1_Format</group>
      <groupName>格式问题</groupName>
      <ability>L2_HalfPunc</ability>
      <abilityName>全半角检查</abilityName>
      <candidateList>
        <item>（</item>
      </candidateList>
      <explain>文本全半角错误。</explain>
      <paraID>56BAE951</paraID>
      <start>60</start>
      <end>61</end>
      <status>unmodified</status>
      <modifiedWord/>
      <trackRevisions>false</trackRevisions>
    </reviewItem>
    <reviewItem>
      <errorID>efe484fc-98e2-4346-925f-b127347f7f34</errorID>
      <errorWord>)</errorWord>
      <group>L1_Format</group>
      <groupName>格式问题</groupName>
      <ability>L2_HalfPunc</ability>
      <abilityName>全半角检查</abilityName>
      <candidateList>
        <item>）</item>
      </candidateList>
      <explain>文本全半角错误。</explain>
      <paraID>56BAE951</paraID>
      <start>66</start>
      <end>67</end>
      <status>unmodified</status>
      <modifiedWord/>
      <trackRevisions>false</trackRevisions>
    </reviewItem>
    <reviewItem>
      <errorID>5574592a-89e8-4c06-8247-d4a2b79416bb</errorID>
      <errorWord>(</errorWord>
      <group>L1_Format</group>
      <groupName>格式问题</groupName>
      <ability>L2_HalfPunc</ability>
      <abilityName>全半角检查</abilityName>
      <candidateList>
        <item>（</item>
      </candidateList>
      <explain>文本全半角错误。</explain>
      <paraID>56BAE951</paraID>
      <start>119</start>
      <end>120</end>
      <status>unmodified</status>
      <modifiedWord/>
      <trackRevisions>false</trackRevisions>
    </reviewItem>
    <reviewItem>
      <errorID>b33d18f8-5a9e-4c43-8387-12e53ecbcb98</errorID>
      <errorWord>)</errorWord>
      <group>L1_Format</group>
      <groupName>格式问题</groupName>
      <ability>L2_HalfPunc</ability>
      <abilityName>全半角检查</abilityName>
      <candidateList>
        <item>）</item>
      </candidateList>
      <explain>文本全半角错误。</explain>
      <paraID>56BAE951</paraID>
      <start>128</start>
      <end>129</end>
      <status>unmodified</status>
      <modifiedWord/>
      <trackRevisions>false</trackRevisions>
    </reviewItem>
    <reviewItem>
      <errorID>ad1633be-8136-4dad-80a0-814089236b40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276840AD</paraID>
      <start>0</start>
      <end>3</end>
      <status>unmodified</status>
      <modifiedWord/>
      <trackRevisions>false</trackRevisions>
    </reviewItem>
    <reviewItem>
      <errorID>0bfd669a-4a73-4d61-8f2a-f91c9a498dc4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1BB8B398</paraID>
      <start>28</start>
      <end>29</end>
      <status>unmodified</status>
      <modifiedWord/>
      <trackRevisions>false</trackRevisions>
    </reviewItem>
    <reviewItem>
      <errorID>123b18c6-429f-47ae-8826-e2676c5e9200</errorID>
      <errorWord>气气</errorWord>
      <group>L1_Word</group>
      <groupName>字词问题</groupName>
      <ability>L2_Typo</ability>
      <abilityName>字词错误</abilityName>
      <candidateList>
        <item>气</item>
      </candidateList>
      <explain/>
      <paraID>416ACB52</paraID>
      <start>43</start>
      <end>44</end>
      <status>modified</status>
      <modifiedWord>气</modifiedWord>
      <trackRevisions>false</trackRevisions>
    </reviewItem>
    <reviewItem>
      <errorID>21f995c9-d46a-4bef-9e4e-bd4806c3724b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5E5B4EA5</paraID>
      <start>21</start>
      <end>22</end>
      <status>unmodified</status>
      <modifiedWord/>
      <trackRevisions>false</trackRevisions>
    </reviewItem>
    <reviewItem>
      <errorID>bdb2e1fa-ddb5-4b76-a7fa-750ee5d19493</errorID>
      <errorWord>气气</errorWord>
      <group>L1_Word</group>
      <groupName>字词问题</groupName>
      <ability>L2_Typo</ability>
      <abilityName>字词错误</abilityName>
      <candidateList>
        <item>气</item>
      </candidateList>
      <explain/>
      <paraID> EF74117</paraID>
      <start>46</start>
      <end>47</end>
      <status>modified</status>
      <modifiedWord>气</modifiedWord>
      <trackRevisions>false</trackRevisions>
    </reviewItem>
    <reviewItem>
      <errorID>3037ba6a-5d2e-4ea5-8947-f0428118aaa8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5EEBF38B</paraID>
      <start>27</start>
      <end>28</end>
      <status>unmodified</status>
      <modifiedWord/>
      <trackRevisions>false</trackRevisions>
    </reviewItem>
    <reviewItem>
      <errorID>8d985018-08ae-4dca-a360-61c443aad836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7E28A664</paraID>
      <start>0</start>
      <end>2</end>
      <status>unmodified</status>
      <modifiedWord/>
      <trackRevisions>false</trackRevisions>
    </reviewItem>
    <reviewItem>
      <errorID>2292b22d-5b4a-4bd7-8fd3-7071c2ba4bf4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6C9DF5C5</paraID>
      <start>0</start>
      <end>2</end>
      <status>unmodified</status>
      <modifiedWord/>
      <trackRevisions>false</trackRevisions>
    </reviewItem>
    <reviewItem>
      <errorID>aa9b212f-d8d8-4672-90a4-5be4e584a020</errorID>
      <errorWord>漆料</errorWord>
      <group>L1_Word</group>
      <groupName>字词问题</groupName>
      <ability>L2_Typo</ability>
      <abilityName>字词错误</abilityName>
      <candidateList>
        <item>涂料</item>
      </candidateList>
      <explain/>
      <paraID> 3A16E7F</paraID>
      <start>41</start>
      <end>43</end>
      <status>modified</status>
      <modifiedWord>涂料</modifiedWord>
      <trackRevisions>false</trackRevisions>
    </reviewItem>
    <reviewItem>
      <errorID>90cb9398-3270-4d90-98ad-0a553049e6c6</errorID>
      <errorWord>(</errorWord>
      <group>L1_Format</group>
      <groupName>格式问题</groupName>
      <ability>L2_HalfPunc</ability>
      <abilityName>全半角检查</abilityName>
      <candidateList>
        <item>（</item>
      </candidateList>
      <explain>文本全半角错误。</explain>
      <paraID>1CBCEE13</paraID>
      <start>65</start>
      <end>66</end>
      <status>modified</status>
      <modifiedWord>（</modifiedWord>
      <trackRevisions>false</trackRevisions>
    </reviewItem>
    <reviewItem>
      <errorID>1026235b-b8c8-4fc6-b496-54d817df5106</errorID>
      <errorWord>)</errorWord>
      <group>L1_Format</group>
      <groupName>格式问题</groupName>
      <ability>L2_HalfPunc</ability>
      <abilityName>全半角检查</abilityName>
      <candidateList>
        <item>）</item>
      </candidateList>
      <explain>文本全半角错误。</explain>
      <paraID>1CBCEE13</paraID>
      <start>78</start>
      <end>79</end>
      <status>unmodified</status>
      <modifiedWord/>
      <trackRevisions>false</trackRevisions>
    </reviewItem>
    <reviewItem>
      <errorID>ddde0366-8f5e-421e-ae32-27b920141091</errorID>
      <errorWord>(</errorWord>
      <group>L1_Format</group>
      <groupName>格式问题</groupName>
      <ability>L2_HalfPunc</ability>
      <abilityName>全半角检查</abilityName>
      <candidateList>
        <item>（</item>
      </candidateList>
      <explain>文本全半角错误。</explain>
      <paraID>1CBCEE13</paraID>
      <start>93</start>
      <end>94</end>
      <status>unmodified</status>
      <modifiedWord/>
      <trackRevisions>false</trackRevisions>
    </reviewItem>
    <reviewItem>
      <errorID>358efda5-73ee-4942-b01f-5a0e962da922</errorID>
      <errorWord>)</errorWord>
      <group>L1_Format</group>
      <groupName>格式问题</groupName>
      <ability>L2_HalfPunc</ability>
      <abilityName>全半角检查</abilityName>
      <candidateList>
        <item>）</item>
      </candidateList>
      <explain>文本全半角错误。</explain>
      <paraID>1CBCEE13</paraID>
      <start>106</start>
      <end>107</end>
      <status>unmodified</status>
      <modifiedWord/>
      <trackRevisions>false</trackRevisions>
    </reviewItem>
    <reviewItem>
      <errorID>0523931d-9f33-4182-b6f0-b4281c15bda4</errorID>
      <errorWord>(</errorWord>
      <group>L1_Format</group>
      <groupName>格式问题</groupName>
      <ability>L2_HalfPunc</ability>
      <abilityName>全半角检查</abilityName>
      <candidateList>
        <item>（</item>
      </candidateList>
      <explain>文本全半角错误。</explain>
      <paraID>1CBCEE13</paraID>
      <start>121</start>
      <end>122</end>
      <status>unmodified</status>
      <modifiedWord/>
      <trackRevisions>false</trackRevisions>
    </reviewItem>
    <reviewItem>
      <errorID>36775dff-9b24-4d46-abf2-a7bcdb7ae7f9</errorID>
      <errorWord>)</errorWord>
      <group>L1_Format</group>
      <groupName>格式问题</groupName>
      <ability>L2_HalfPunc</ability>
      <abilityName>全半角检查</abilityName>
      <candidateList>
        <item>）</item>
      </candidateList>
      <explain>文本全半角错误。</explain>
      <paraID>1CBCEE13</paraID>
      <start>134</start>
      <end>135</end>
      <status>unmodified</status>
      <modifiedWord/>
      <trackRevisions>false</trackRevisions>
    </reviewItem>
    <reviewItem>
      <errorID>a003161e-6af2-4de2-b918-acb294f566b9</errorID>
      <errorWord>(</errorWord>
      <group>L1_Format</group>
      <groupName>格式问题</groupName>
      <ability>L2_HalfPunc</ability>
      <abilityName>全半角检查</abilityName>
      <candidateList>
        <item>（</item>
      </candidateList>
      <explain>文本全半角错误。</explain>
      <paraID>1CBCEE13</paraID>
      <start>151</start>
      <end>152</end>
      <status>unmodified</status>
      <modifiedWord/>
      <trackRevisions>false</trackRevisions>
    </reviewItem>
    <reviewItem>
      <errorID>d5e233b6-a097-4c27-8303-01c71742bfa0</errorID>
      <errorWord>)</errorWord>
      <group>L1_Format</group>
      <groupName>格式问题</groupName>
      <ability>L2_HalfPunc</ability>
      <abilityName>全半角检查</abilityName>
      <candidateList>
        <item>）</item>
      </candidateList>
      <explain>文本全半角错误。</explain>
      <paraID>1CBCEE13</paraID>
      <start>164</start>
      <end>165</end>
      <status>unmodified</status>
      <modifiedWord/>
      <trackRevisions>false</trackRevisions>
    </reviewItem>
    <reviewItem>
      <errorID>ecd5ba28-65d9-4147-8f0b-6ac55fa2a049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4A80AF8F</paraID>
      <start>0</start>
      <end>2</end>
      <status>unmodified</status>
      <modifiedWord/>
      <trackRevisions>false</trackRevisions>
    </reviewItem>
    <reviewItem>
      <errorID>5338223f-09b6-401e-a27a-0c03c53cd12f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40B98699</paraID>
      <start>0</start>
      <end>2</end>
      <status>unmodified</status>
      <modifiedWord/>
      <trackRevisions>false</trackRevisions>
    </reviewItem>
    <reviewItem>
      <errorID>e81742c7-b0b4-41af-8df8-2fad89e11bee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6AD0039A</paraID>
      <start>0</start>
      <end>2</end>
      <status>unmodified</status>
      <modifiedWord/>
      <trackRevisions>false</trackRevisions>
    </reviewItem>
    <reviewItem>
      <errorID>d4c03d75-d93a-4672-b993-eb2794190904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4CB4D794</paraID>
      <start>0</start>
      <end>2</end>
      <status>unmodified</status>
      <modifiedWord/>
      <trackRevisions>false</trackRevisions>
    </reviewItem>
    <reviewItem>
      <errorID>bd22941d-c82c-451b-85ff-948168ff6f91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676D5400</paraID>
      <start>0</start>
      <end>2</end>
      <status>unmodified</status>
      <modifiedWord/>
      <trackRevisions>false</trackRevisions>
    </reviewItem>
    <reviewItem>
      <errorID>25aeb957-0fef-426c-be35-507e75f30711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5265966A</paraID>
      <start>0</start>
      <end>2</end>
      <status>unmodified</status>
      <modifiedWord/>
      <trackRevisions>false</trackRevisions>
    </reviewItem>
    <reviewItem>
      <errorID>816924b9-83b1-4b88-b9b4-7e9ae09c7db2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F7EE98D</paraID>
      <start>0</start>
      <end>2</end>
      <status>unmodified</status>
      <modifiedWord/>
      <trackRevisions>false</trackRevisions>
    </reviewItem>
    <reviewItem>
      <errorID>74bcfc45-a7eb-4132-87b4-dcb3f10dae5a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2ACA7A76</paraID>
      <start>0</start>
      <end>2</end>
      <status>unmodified</status>
      <modifiedWord/>
      <trackRevisions>false</trackRevisions>
    </reviewItem>
    <reviewItem>
      <errorID>03630228-1848-43c3-aa82-2aba07bb7886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3EEF4721</paraID>
      <start>0</start>
      <end>2</end>
      <status>unmodified</status>
      <modifiedWord/>
      <trackRevisions>false</trackRevisions>
    </reviewItem>
    <reviewItem>
      <errorID>951a5180-f29b-4e08-8dfc-d52d675c5c82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18B34138</paraID>
      <start>0</start>
      <end>2</end>
      <status>unmodified</status>
      <modifiedWord/>
      <trackRevisions>false</trackRevisions>
    </reviewItem>
    <reviewItem>
      <errorID>6609c66f-9691-41d8-b602-0c17e8a0c2d3</errorID>
      <errorWord>气气</errorWord>
      <group>L1_Word</group>
      <groupName>字词问题</groupName>
      <ability>L2_Typo</ability>
      <abilityName>字词错误</abilityName>
      <candidateList>
        <item>气</item>
      </candidateList>
      <explain/>
      <paraID>18B34138</paraID>
      <start>38</start>
      <end>39</end>
      <status>modified</status>
      <modifiedWord>气</modifiedWord>
      <trackRevisions>false</trackRevisions>
    </reviewItem>
    <reviewItem>
      <errorID>477ec676-99e2-4387-9688-47496dfa9829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1044D2AD</paraID>
      <start>32</start>
      <end>33</end>
      <status>unmodified</status>
      <modifiedWord/>
      <trackRevisions>false</trackRevisions>
    </reviewItem>
    <reviewItem>
      <errorID>da63f3f5-d1f1-452b-9a60-d6cf1cad6eb4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1044D2AD</paraID>
      <start>48</start>
      <end>49</end>
      <status>unmodified</status>
      <modifiedWord/>
      <trackRevisions>false</trackRevisions>
    </reviewItem>
    <reviewItem>
      <errorID>efd96e3a-e032-4193-bb40-862597c6aeb7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ED9A7FA</paraID>
      <start>0</start>
      <end>2</end>
      <status>unmodified</status>
      <modifiedWord/>
      <trackRevisions>false</trackRevisions>
    </reviewItem>
    <reviewItem>
      <errorID>f1b91f67-c261-49a4-8e82-40917c97d0a7</errorID>
      <errorWord>一次</errorWord>
      <group>L1_Knowledge</group>
      <groupName>知识性问题</groupName>
      <ability>L2_Knowledge</ability>
      <abilityName>其他知识</abilityName>
      <candidateList>
        <item>一种</item>
      </candidateList>
      <explain/>
      <paraID> ED9A7FA</paraID>
      <start>37</start>
      <end>39</end>
      <status>unmodified</status>
      <modifiedWord/>
      <trackRevisions>false</trackRevisions>
    </reviewItem>
    <reviewItem>
      <errorID>6a7418a6-71e7-4bbe-aa78-048aabbb0048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19512C71</paraID>
      <start>0</start>
      <end>2</end>
      <status>unmodified</status>
      <modifiedWord/>
      <trackRevisions>false</trackRevisions>
    </reviewItem>
    <reviewItem>
      <errorID>7dc866e4-853c-4e82-9996-bdc183104e4b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2728458A</paraID>
      <start>0</start>
      <end>2</end>
      <status>unmodified</status>
      <modifiedWord/>
      <trackRevisions>false</trackRevisions>
    </reviewItem>
    <reviewItem>
      <errorID>f22ca3b5-4b52-49f1-8a34-b9fd597dc161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2728458A</paraID>
      <start>118</start>
      <end>119</end>
      <status>unmodified</status>
      <modifiedWord/>
      <trackRevisions>false</trackRevisions>
    </reviewItem>
    <reviewItem>
      <errorID>c7225bbd-5313-4227-82d8-1dbc83d18759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2728458A</paraID>
      <start>134</start>
      <end>135</end>
      <status>unmodified</status>
      <modifiedWord/>
      <trackRevisions>false</trackRevisions>
    </reviewItem>
    <reviewItem>
      <errorID>980836fe-78fb-4e15-908c-ab26a73f0a73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1803EE78</paraID>
      <start>0</start>
      <end>2</end>
      <status>unmodified</status>
      <modifiedWord/>
      <trackRevisions>false</trackRevisions>
    </reviewItem>
    <reviewItem>
      <errorID>1e7bfe93-3819-434c-984f-808be985d623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72B40DD2</paraID>
      <start>0</start>
      <end>2</end>
      <status>unmodified</status>
      <modifiedWord/>
      <trackRevisions>false</trackRevisions>
    </reviewItem>
    <reviewItem>
      <errorID>0cc2788d-3ca1-4350-a568-4ffcf088ef7a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41158150</paraID>
      <start>0</start>
      <end>2</end>
      <status>unmodified</status>
      <modifiedWord/>
      <trackRevisions>false</trackRevisions>
    </reviewItem>
    <reviewItem>
      <errorID>a930c9b0-dc8f-4494-b205-915ad9b1f49d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2107CD7B</paraID>
      <start>0</start>
      <end>2</end>
      <status>unmodified</status>
      <modifiedWord/>
      <trackRevisions>false</trackRevisions>
    </reviewItem>
    <reviewItem>
      <errorID>f588dfd7-18b6-4f9d-9d6a-331ccecee795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17362C02</paraID>
      <start>0</start>
      <end>2</end>
      <status>unmodified</status>
      <modifiedWord/>
      <trackRevisions>false</trackRevisions>
    </reviewItem>
    <reviewItem>
      <errorID>69fe4eac-15d3-44f8-8424-ef0937485562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3EE3203C</paraID>
      <start>0</start>
      <end>2</end>
      <status>unmodified</status>
      <modifiedWord/>
      <trackRevisions>false</trackRevisions>
    </reviewItem>
    <reviewItem>
      <errorID>ed8b5aff-ed78-499e-8909-5f1bc19eda1c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401C6372</paraID>
      <start>0</start>
      <end>2</end>
      <status>unmodified</status>
      <modifiedWord/>
      <trackRevisions>false</trackRevisions>
    </reviewItem>
    <reviewItem>
      <errorID>9d5526de-4884-4e64-8665-8a4c4ea7b8dd</errorID>
      <errorWord>（</errorWord>
      <group>L1_Punc</group>
      <groupName>标点问题</groupName>
      <ability>L2_Punc</ability>
      <abilityName>标点符号检查</abilityName>
      <candidateList/>
      <explain>同一形式括号套用。</explain>
      <paraID>3CC12EE6</paraID>
      <start>65</start>
      <end>66</end>
      <status>unmodified</status>
      <modifiedWord/>
      <trackRevisions>false</trackRevisions>
    </reviewItem>
    <reviewItem>
      <errorID>8fb5e72d-a738-45fa-ae54-56da2888c1ee</errorID>
      <errorWord>）</errorWord>
      <group>L1_Punc</group>
      <groupName>标点问题</groupName>
      <ability>L2_Punc</ability>
      <abilityName>标点符号检查</abilityName>
      <candidateList/>
      <explain>同一形式括号套用。</explain>
      <paraID>3CC12EE6</paraID>
      <start>70</start>
      <end>71</end>
      <status>unmodified</status>
      <modifiedWord/>
      <trackRevisions>false</trackRevisions>
    </reviewItem>
    <reviewItem>
      <errorID>037948aa-65c3-413b-95fa-692a0d0a2eaf</errorID>
      <errorWord>（</errorWord>
      <group>L1_Punc</group>
      <groupName>标点问题</groupName>
      <ability>L2_Punc</ability>
      <abilityName>标点符号检查</abilityName>
      <candidateList/>
      <explain>同一形式括号套用。</explain>
      <paraID>3CC12EE6</paraID>
      <start>157</start>
      <end>158</end>
      <status>unmodified</status>
      <modifiedWord/>
      <trackRevisions>false</trackRevisions>
    </reviewItem>
    <reviewItem>
      <errorID>8733f695-b3b1-4970-8417-ca625684612f</errorID>
      <errorWord>）</errorWord>
      <group>L1_Punc</group>
      <groupName>标点问题</groupName>
      <ability>L2_Punc</ability>
      <abilityName>标点符号检查</abilityName>
      <candidateList/>
      <explain>同一形式括号套用。</explain>
      <paraID>3CC12EE6</paraID>
      <start>167</start>
      <end>168</end>
      <status>unmodified</status>
      <modifiedWord/>
      <trackRevisions>false</trackRevisions>
    </reviewItem>
    <reviewItem>
      <errorID>72fc37bc-b451-4037-85c2-0b1bdbf67082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5828CA6D</paraID>
      <start>0</start>
      <end>2</end>
      <status>unmodified</status>
      <modifiedWord/>
      <trackRevisions>false</trackRevisions>
    </reviewItem>
    <reviewItem>
      <errorID>af2c577b-cc4d-4cd1-a04e-1ed28a42129d</errorID>
      <errorWord>(</errorWord>
      <group>L1_Format</group>
      <groupName>格式问题</groupName>
      <ability>L2_HalfPunc</ability>
      <abilityName>全半角检查</abilityName>
      <candidateList>
        <item>（</item>
      </candidateList>
      <explain>文本全半角错误。</explain>
      <paraID>5828CA6D</paraID>
      <start>29</start>
      <end>30</end>
      <status>unmodified</status>
      <modifiedWord/>
      <trackRevisions>false</trackRevisions>
    </reviewItem>
    <reviewItem>
      <errorID>348c22c4-0db2-4dbb-9083-c3240c78b16e</errorID>
      <errorWord>)</errorWord>
      <group>L1_Format</group>
      <groupName>格式问题</groupName>
      <ability>L2_HalfPunc</ability>
      <abilityName>全半角检查</abilityName>
      <candidateList>
        <item>）</item>
      </candidateList>
      <explain>文本全半角错误。</explain>
      <paraID>5828CA6D</paraID>
      <start>33</start>
      <end>34</end>
      <status>unmodified</status>
      <modifiedWord/>
      <trackRevisions>false</trackRevisions>
    </reviewItem>
    <reviewItem>
      <errorID>752d2799-a72b-4638-96eb-c580e7788ca8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82F2922</paraID>
      <start>0</start>
      <end>2</end>
      <status>unmodified</status>
      <modifiedWord/>
      <trackRevisions>false</trackRevisions>
    </reviewItem>
    <reviewItem>
      <errorID>a690bc65-7ce9-4159-80e5-d38f0ea94ba3</errorID>
      <errorWord>(</errorWord>
      <group>L1_Format</group>
      <groupName>格式问题</groupName>
      <ability>L2_HalfPunc</ability>
      <abilityName>全半角检查</abilityName>
      <candidateList>
        <item>（</item>
      </candidateList>
      <explain>文本全半角错误。</explain>
      <paraID> 82F2922</paraID>
      <start>21</start>
      <end>22</end>
      <status>unmodified</status>
      <modifiedWord/>
      <trackRevisions>false</trackRevisions>
    </reviewItem>
    <reviewItem>
      <errorID>1edf16de-e6e1-4629-a48d-83db55885d00</errorID>
      <errorWord>)</errorWord>
      <group>L1_Format</group>
      <groupName>格式问题</groupName>
      <ability>L2_HalfPunc</ability>
      <abilityName>全半角检查</abilityName>
      <candidateList>
        <item>）</item>
      </candidateList>
      <explain>文本全半角错误。</explain>
      <paraID> 82F2922</paraID>
      <start>25</start>
      <end>26</end>
      <status>unmodified</status>
      <modifiedWord/>
      <trackRevisions>false</trackRevisions>
    </reviewItem>
    <reviewItem>
      <errorID>bc51b39a-613a-4c46-acd5-32b0bce2122c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51DE4B77</paraID>
      <start>0</start>
      <end>2</end>
      <status>unmodified</status>
      <modifiedWord/>
      <trackRevisions>false</trackRevisions>
    </reviewItem>
    <reviewItem>
      <errorID>fed2e3e9-d6cb-4df9-b0d6-92e2161ab328</errorID>
      <errorWord>期</errorWord>
      <group>L1_Word</group>
      <groupName>字词问题</groupName>
      <ability>L2_Typo</ability>
      <abilityName>字词错误</abilityName>
      <candidateList>
        <item>期间</item>
      </candidateList>
      <explain>〈名〉某个时期里面：农忙～｜春节～｜抗战～。</explain>
      <paraID>600D3327</paraID>
      <start>4</start>
      <end>6</end>
      <status>modified</status>
      <modifiedWord>期间</modifiedWord>
      <trackRevisions>false</trackRevisions>
    </reviewItem>
    <reviewItem>
      <errorID>e5b8888b-5ddd-4d7d-bfc4-5989907c9ad5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6245B4E8</paraID>
      <start>51</start>
      <end>54</end>
      <status>unmodified</status>
      <modifiedWord/>
      <trackRevisions>false</trackRevisions>
    </reviewItem>
    <reviewItem>
      <errorID>05480d46-b499-47e2-ab18-0acc723d94c7</errorID>
      <errorWord>10%~30%</errorWord>
      <group>L1_Knowledge</group>
      <groupName>知识性问题</groupName>
      <ability>L2_Knowledge</ability>
      <abilityName>其他知识</abilityName>
      <candidateList>
        <item>10%～30%</item>
      </candidateList>
      <explain>1. “10%~30%”中的单位“%”仅出现在后一个数字上，容易引起歧义；根据《现代汉语标点符号数字用法规范手册》，数字表示范围两边需要使用统一的格式。2. 根据标点国标 4.13 中的规则，数字、时间或地域连接符应使用（视觉上更长的）“—”或“～”。</explain>
      <paraID>5C72DB7B</paraID>
      <start>4</start>
      <end>11</end>
      <status>unmodified</status>
      <modifiedWord/>
      <trackRevisions>false</trackRevisions>
    </reviewItem>
    <reviewItem>
      <errorID>52239240-1900-4eb4-8710-7821ded3195f</errorID>
      <errorWord>10%~15%</errorWord>
      <group>L1_Knowledge</group>
      <groupName>知识性问题</groupName>
      <ability>L2_Knowledge</ability>
      <abilityName>其他知识</abilityName>
      <candidateList>
        <item>10%～15%</item>
      </candidateList>
      <explain>1. “10%~15%”中的单位“%”仅出现在后一个数字上，容易引起歧义；根据《现代汉语标点符号数字用法规范手册》，数字表示范围两边需要使用统一的格式。2. 根据标点国标 4.13 中的规则，数字、时间或地域连接符应使用（视觉上更长的）“—”或“～”。</explain>
      <paraID>5C72DB7B</paraID>
      <start>18</start>
      <end>25</end>
      <status>unmodified</status>
      <modifiedWord/>
      <trackRevisions>false</trackRevisions>
    </reviewItem>
    <reviewItem>
      <errorID>095ccd02-46c4-4e0a-9068-50d8c24b91bd</errorID>
      <errorWord>5%~20%</errorWord>
      <group>L1_Knowledge</group>
      <groupName>知识性问题</groupName>
      <ability>L2_Knowledge</ability>
      <abilityName>其他知识</abilityName>
      <candidateList>
        <item>5%～20%</item>
      </candidateList>
      <explain>1. “5%~20%”中的单位“%”仅出现在后一个数字上，容易引起歧义；根据《现代汉语标点符号数字用法规范手册》，数字表示范围两边需要使用统一的格式。2. 根据标点国标 4.13 中的规则，数字、时间或地域连接符应使用（视觉上更长的）“—”或“～”。</explain>
      <paraID>5C72DB7B</paraID>
      <start>29</start>
      <end>35</end>
      <status>unmodified</status>
      <modifiedWord/>
      <trackRevisions>false</trackRevisions>
    </reviewItem>
    <reviewItem>
      <errorID>6b332b30-7c91-4b5f-a009-200064fdd4b0</errorID>
      <errorWord>5%~20%</errorWord>
      <group>L1_Knowledge</group>
      <groupName>知识性问题</groupName>
      <ability>L2_Knowledge</ability>
      <abilityName>其他知识</abilityName>
      <candidateList>
        <item>5%～20%</item>
      </candidateList>
      <explain>1. “5%~20%”中的单位“%”仅出现在后一个数字上，容易引起歧义；根据《现代汉语标点符号数字用法规范手册》，数字表示范围两边需要使用统一的格式。2. 根据标点国标 4.13 中的规则，数字、时间或地域连接符应使用（视觉上更长的）“—”或“～”。</explain>
      <paraID>5C72DB7B</paraID>
      <start>38</start>
      <end>44</end>
      <status>unmodified</status>
      <modifiedWord/>
      <trackRevisions>false</trackRevisions>
    </reviewItem>
    <reviewItem>
      <errorID>a3d3d9db-f00e-4492-ba42-afab536f236f</errorID>
      <errorWord>10%~30%</errorWord>
      <group>L1_Knowledge</group>
      <groupName>知识性问题</groupName>
      <ability>L2_Knowledge</ability>
      <abilityName>其他知识</abilityName>
      <candidateList>
        <item>10%～30%</item>
      </candidateList>
      <explain>1. “10%~30%”中的单位“%”仅出现在后一个数字上，容易引起歧义；根据《现代汉语标点符号数字用法规范手册》，数字表示范围两边需要使用统一的格式。2. 根据标点国标 4.13 中的规则，数字、时间或地域连接符应使用（视觉上更长的）“—”或“～”。</explain>
      <paraID>5C72DB7B</paraID>
      <start>48</start>
      <end>55</end>
      <status>unmodified</status>
      <modifiedWord/>
      <trackRevisions>false</trackRevisions>
    </reviewItem>
    <reviewItem>
      <errorID>1abb2759-4d58-4261-bbc9-55d22dfe5fcf</errorID>
      <errorWord>45%~60%</errorWord>
      <group>L1_Knowledge</group>
      <groupName>知识性问题</groupName>
      <ability>L2_Knowledge</ability>
      <abilityName>其他知识</abilityName>
      <candidateList>
        <item>45%～60%</item>
      </candidateList>
      <explain>1. “45%~60%”中的单位“%”仅出现在后一个数字上，容易引起歧义；根据《现代汉语标点符号数字用法规范手册》，数字表示范围两边需要使用统一的格式。2. 根据标点国标 4.13 中的规则，数字、时间或地域连接符应使用（视觉上更长的）“—”或“～”。</explain>
      <paraID> A44905C</paraID>
      <start>5</start>
      <end>12</end>
      <status>unmodified</status>
      <modifiedWord/>
      <trackRevisions>false</trackRevisions>
    </reviewItem>
    <reviewItem>
      <errorID>b024bc9a-f435-4010-85ec-db58e886e217</errorID>
      <errorWord>25%~40%</errorWord>
      <group>L1_Knowledge</group>
      <groupName>知识性问题</groupName>
      <ability>L2_Knowledge</ability>
      <abilityName>其他知识</abilityName>
      <candidateList>
        <item>25%～40%</item>
      </candidateList>
      <explain>1. “25%~40%”中的单位“%”仅出现在后一个数字上，容易引起歧义；根据《现代汉语标点符号数字用法规范手册》，数字表示范围两边需要使用统一的格式。2. 根据标点国标 4.13 中的规则，数字、时间或地域连接符应使用（视觉上更长的）“—”或“～”。</explain>
      <paraID> A44905C</paraID>
      <start>16</start>
      <end>23</end>
      <status>unmodified</status>
      <modifiedWord/>
      <trackRevisions>false</trackRevisions>
    </reviewItem>
    <reviewItem>
      <errorID>a5bb18bd-8e5d-44fe-aef4-6c9987b55291</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 A44905C</paraID>
      <start>26</start>
      <end>33</end>
      <status>unmodified</status>
      <modifiedWord/>
      <trackRevisions>false</trackRevisions>
    </reviewItem>
    <reviewItem>
      <errorID>37459c6e-0a13-4558-af4d-47aa5c9fddfd</errorID>
      <errorWord>75%~85%</errorWord>
      <group>L1_Knowledge</group>
      <groupName>知识性问题</groupName>
      <ability>L2_Knowledge</ability>
      <abilityName>其他知识</abilityName>
      <candidateList>
        <item>75%～85%</item>
      </candidateList>
      <explain>1. “75%~85%”中的单位“%”仅出现在后一个数字上，容易引起歧义；根据《现代汉语标点符号数字用法规范手册》，数字表示范围两边需要使用统一的格式。2. 根据标点国标 4.13 中的规则，数字、时间或地域连接符应使用（视觉上更长的）“—”或“～”。</explain>
      <paraID> 7D25133</paraID>
      <start>3</start>
      <end>10</end>
      <status>unmodified</status>
      <modifiedWord/>
      <trackRevisions>false</trackRevisions>
    </reviewItem>
    <reviewItem>
      <errorID>6566d6c3-668c-4b8b-b845-e0cef410191b</errorID>
      <errorWord>15%~25%</errorWord>
      <group>L1_Knowledge</group>
      <groupName>知识性问题</groupName>
      <ability>L2_Knowledge</ability>
      <abilityName>其他知识</abilityName>
      <candidateList>
        <item>15%～25%</item>
      </candidateList>
      <explain>1. “15%~25%”中的单位“%”仅出现在后一个数字上，容易引起歧义；根据《现代汉语标点符号数字用法规范手册》，数字表示范围两边需要使用统一的格式。2. 根据标点国标 4.13 中的规则，数字、时间或地域连接符应使用（视觉上更长的）“—”或“～”。</explain>
      <paraID> 7D25133</paraID>
      <start>13</start>
      <end>20</end>
      <status>unmodified</status>
      <modifiedWord/>
      <trackRevisions>false</trackRevisions>
    </reviewItem>
    <reviewItem>
      <errorID>a12955fb-2790-4fb4-acff-e550241a7d24</errorID>
      <errorWord>70%~90%</errorWord>
      <group>L1_Knowledge</group>
      <groupName>知识性问题</groupName>
      <ability>L2_Knowledge</ability>
      <abilityName>其他知识</abilityName>
      <candidateList>
        <item>70%～90%</item>
      </candidateList>
      <explain>1. “70%~90%”中的单位“%”仅出现在后一个数字上，容易引起歧义；根据《现代汉语标点符号数字用法规范手册》，数字表示范围两边需要使用统一的格式。2. 根据标点国标 4.13 中的规则，数字、时间或地域连接符应使用（视觉上更长的）“—”或“～”。</explain>
      <paraID>473399B2</paraID>
      <start>3</start>
      <end>10</end>
      <status>unmodified</status>
      <modifiedWord/>
      <trackRevisions>false</trackRevisions>
    </reviewItem>
    <reviewItem>
      <errorID>cd825fc0-0dbf-4f27-89dc-bc46b7fc8a72</errorID>
      <errorWord>1%~30%</errorWord>
      <group>L1_Knowledge</group>
      <groupName>知识性问题</groupName>
      <ability>L2_Knowledge</ability>
      <abilityName>其他知识</abilityName>
      <candidateList>
        <item>1%～30%</item>
      </candidateList>
      <explain>1. “1%~30%”中的单位“%”仅出现在后一个数字上，容易引起歧义；根据《现代汉语标点符号数字用法规范手册》，数字表示范围两边需要使用统一的格式。2. 根据标点国标 4.13 中的规则，数字、时间或地域连接符应使用（视觉上更长的）“—”或“～”。</explain>
      <paraID>473399B2</paraID>
      <start>15</start>
      <end>21</end>
      <status>unmodified</status>
      <modifiedWord/>
      <trackRevisions>false</trackRevisions>
    </reviewItem>
    <reviewItem>
      <errorID>31e7e353-360d-4b6f-bda2-be771a46b52a</errorID>
      <errorWord>1%~10%</errorWord>
      <group>L1_Knowledge</group>
      <groupName>知识性问题</groupName>
      <ability>L2_Knowledge</ability>
      <abilityName>其他知识</abilityName>
      <candidateList>
        <item>1%～10%</item>
      </candidateList>
      <explain>1. “1%~10%”中的单位“%”仅出现在后一个数字上，容易引起歧义；根据《现代汉语标点符号数字用法规范手册》，数字表示范围两边需要使用统一的格式。2. 根据标点国标 4.13 中的规则，数字、时间或地域连接符应使用（视觉上更长的）“—”或“～”。</explain>
      <paraID>473399B2</paraID>
      <start>36</start>
      <end>42</end>
      <status>unmodified</status>
      <modifiedWord/>
      <trackRevisions>false</trackRevisions>
    </reviewItem>
    <reviewItem>
      <errorID>396b02c1-b3c9-42bb-b892-c87a60764cd9</errorID>
      <errorWord>90%~95%</errorWord>
      <group>L1_Knowledge</group>
      <groupName>知识性问题</groupName>
      <ability>L2_Knowledge</ability>
      <abilityName>其他知识</abilityName>
      <candidateList>
        <item>90%～95%</item>
      </candidateList>
      <explain>1. “90%~95%”中的单位“%”仅出现在后一个数字上，容易引起歧义；根据《现代汉语标点符号数字用法规范手册》，数字表示范围两边需要使用统一的格式。2. 根据标点国标 4.13 中的规则，数字、时间或地域连接符应使用（视觉上更长的）“—”或“～”。</explain>
      <paraID>7B87A50C</paraID>
      <start>0</start>
      <end>7</end>
      <status>unmodified</status>
      <modifiedWord/>
      <trackRevisions>false</trackRevisions>
    </reviewItem>
    <reviewItem>
      <errorID>8ac4267f-1bb5-4de0-929c-afb818a11632</errorID>
      <errorWord>50%~70%</errorWord>
      <group>L1_Knowledge</group>
      <groupName>知识性问题</groupName>
      <ability>L2_Knowledge</ability>
      <abilityName>其他知识</abilityName>
      <candidateList>
        <item>50%～70%</item>
      </candidateList>
      <explain>1. “50%~70%”中的单位“%”仅出现在后一个数字上，容易引起歧义；根据《现代汉语标点符号数字用法规范手册》，数字表示范围两边需要使用统一的格式。2. 根据标点国标 4.13 中的规则，数字、时间或地域连接符应使用（视觉上更长的）“—”或“～”。</explain>
      <paraID>122F3C12</paraID>
      <start>4</start>
      <end>11</end>
      <status>unmodified</status>
      <modifiedWord/>
      <trackRevisions>false</trackRevisions>
    </reviewItem>
    <reviewItem>
      <errorID>6b05f0c4-ac43-4af7-a368-4dbbe1ca24df</errorID>
      <errorWord>5%~7%</errorWord>
      <group>L1_Knowledge</group>
      <groupName>知识性问题</groupName>
      <ability>L2_Knowledge</ability>
      <abilityName>其他知识</abilityName>
      <candidateList>
        <item>5%～7%</item>
      </candidateList>
      <explain>1. “5%~7%”中的单位“%”仅出现在后一个数字上，容易引起歧义；根据《现代汉语标点符号数字用法规范手册》，数字表示范围两边需要使用统一的格式。2. 根据标点国标 4.13 中的规则，数字、时间或地域连接符应使用（视觉上更长的）“—”或“～”。</explain>
      <paraID>122F3C12</paraID>
      <start>16</start>
      <end>21</end>
      <status>unmodified</status>
      <modifiedWord/>
      <trackRevisions>false</trackRevisions>
    </reviewItem>
    <reviewItem>
      <errorID>46bdab10-1b7b-4553-9783-83f681556089</errorID>
      <errorWord>10%~30%</errorWord>
      <group>L1_Knowledge</group>
      <groupName>知识性问题</groupName>
      <ability>L2_Knowledge</ability>
      <abilityName>其他知识</abilityName>
      <candidateList>
        <item>10%～30%</item>
      </candidateList>
      <explain>1. “10%~30%”中的单位“%”仅出现在后一个数字上，容易引起歧义；根据《现代汉语标点符号数字用法规范手册》，数字表示范围两边需要使用统一的格式。2. 根据标点国标 4.13 中的规则，数字、时间或地域连接符应使用（视觉上更长的）“—”或“～”。</explain>
      <paraID>122F3C12</paraID>
      <start>58</start>
      <end>65</end>
      <status>unmodified</status>
      <modifiedWord/>
      <trackRevisions>false</trackRevisions>
    </reviewItem>
    <reviewItem>
      <errorID>ad860843-dc60-4edf-bb2b-7542d66cb164</errorID>
      <errorWord>10%~12%</errorWord>
      <group>L1_Knowledge</group>
      <groupName>知识性问题</groupName>
      <ability>L2_Knowledge</ability>
      <abilityName>其他知识</abilityName>
      <candidateList>
        <item>10%～12%</item>
      </candidateList>
      <explain>1. “10%~12%”中的单位“%”仅出现在后一个数字上，容易引起歧义；根据《现代汉语标点符号数字用法规范手册》，数字表示范围两边需要使用统一的格式。2. 根据标点国标 4.13 中的规则，数字、时间或地域连接符应使用（视觉上更长的）“—”或“～”。</explain>
      <paraID>122F3C12</paraID>
      <start>75</start>
      <end>82</end>
      <status>unmodified</status>
      <modifiedWord/>
      <trackRevisions>false</trackRevisions>
    </reviewItem>
    <reviewItem>
      <errorID>369f999e-3a5a-444e-90ab-75ac5c2a1c94</errorID>
      <errorWord>90%~95%</errorWord>
      <group>L1_Knowledge</group>
      <groupName>知识性问题</groupName>
      <ability>L2_Knowledge</ability>
      <abilityName>其他知识</abilityName>
      <candidateList>
        <item>90%～95%</item>
      </candidateList>
      <explain>1. “90%~95%”中的单位“%”仅出现在后一个数字上，容易引起歧义；根据《现代汉语标点符号数字用法规范手册》，数字表示范围两边需要使用统一的格式。2. 根据标点国标 4.13 中的规则，数字、时间或地域连接符应使用（视觉上更长的）“—”或“～”。</explain>
      <paraID>2353DC1D</paraID>
      <start>0</start>
      <end>7</end>
      <status>unmodified</status>
      <modifiedWord/>
      <trackRevisions>false</trackRevisions>
    </reviewItem>
    <reviewItem>
      <errorID>303a87c2-2bb0-4762-a307-f9414eae2af0</errorID>
      <errorWord>45~50%</errorWord>
      <group>L1_Knowledge</group>
      <groupName>知识性问题</groupName>
      <ability>L2_Knowledge</ability>
      <abilityName>其他知识</abilityName>
      <candidateList>
        <item>45%～50%</item>
      </candidateList>
      <explain>1. “45~50%”中的单位“%”仅出现在后一个数字上，容易引起歧义；根据《现代汉语标点符号数字用法规范手册》，数字表示范围两边需要使用统一的格式。2. 根据标点国标 4.13 中的规则，数字、时间或地域连接符应使用（视觉上更长的）“—”或“～”。</explain>
      <paraID>5A093F63</paraID>
      <start>4</start>
      <end>10</end>
      <status>unmodified</status>
      <modifiedWord/>
      <trackRevisions>false</trackRevisions>
    </reviewItem>
    <reviewItem>
      <errorID>e9662ba3-6d4a-4c77-a7ed-ae9ef496614e</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5A093F63</paraID>
      <start>22</start>
      <end>28</end>
      <status>unmodified</status>
      <modifiedWord/>
      <trackRevisions>false</trackRevisions>
    </reviewItem>
    <reviewItem>
      <errorID>8bcd16e5-4f36-4c4a-b30d-5a1f85ac84c4</errorID>
      <errorWord>10~25%</errorWord>
      <group>L1_Knowledge</group>
      <groupName>知识性问题</groupName>
      <ability>L2_Knowledge</ability>
      <abilityName>其他知识</abilityName>
      <candidateList>
        <item>10%～25%</item>
      </candidateList>
      <explain>1. “10~25%”中的单位“%”仅出现在后一个数字上，容易引起歧义；根据《现代汉语标点符号数字用法规范手册》，数字表示范围两边需要使用统一的格式。2. 根据标点国标 4.13 中的规则，数字、时间或地域连接符应使用（视觉上更长的）“—”或“～”。</explain>
      <paraID>5A093F63</paraID>
      <start>34</start>
      <end>40</end>
      <status>unmodified</status>
      <modifiedWord/>
      <trackRevisions>false</trackRevisions>
    </reviewItem>
    <reviewItem>
      <errorID>b84f7bb0-513a-4447-80a9-aa0aaf7534f1</errorID>
      <errorWord>-</errorWord>
      <group>L1_Format</group>
      <groupName>格式问题</groupName>
      <ability>L2_HalfPunc</ability>
      <abilityName>全半角检查</abilityName>
      <candidateList>
        <item>－</item>
      </candidateList>
      <explain>文本全半角错误。</explain>
      <paraID> F14DE73</paraID>
      <start>80</start>
      <end>81</end>
      <status>unmodified</status>
      <modifiedWord/>
      <trackRevisions>false</trackRevisions>
    </reviewItem>
    <reviewItem>
      <errorID>11da8356-91a6-480c-9d42-1fc68a51dc35</errorID>
      <errorWord>kw</errorWord>
      <group>L1_Word</group>
      <groupName>字词问题</groupName>
      <ability>L2_Typo</ability>
      <abilityName>字词错误</abilityName>
      <candidateList>
        <item>kW</item>
      </candidateList>
      <explain/>
      <paraID> 9810112</paraID>
      <start>10</start>
      <end>12</end>
      <status>unmodified</status>
      <modifiedWord/>
      <trackRevisions>false</trackRevisions>
    </reviewItem>
    <reviewItem>
      <errorID>1d49fafe-9a22-4a30-99cb-bdbfdb249864</errorID>
      <errorWord>kw</errorWord>
      <group>L1_Word</group>
      <groupName>字词问题</groupName>
      <ability>L2_Typo</ability>
      <abilityName>字词错误</abilityName>
      <candidateList>
        <item>kW</item>
      </candidateList>
      <explain/>
      <paraID>2781A07A</paraID>
      <start>10</start>
      <end>12</end>
      <status>unmodified</status>
      <modifiedWord/>
      <trackRevisions>false</trackRevisions>
    </reviewItem>
    <reviewItem>
      <errorID>582c330a-c7c9-4a8e-9b02-db89fa948f38</errorID>
      <errorWord>kw</errorWord>
      <group>L1_Word</group>
      <groupName>字词问题</groupName>
      <ability>L2_Typo</ability>
      <abilityName>字词错误</abilityName>
      <candidateList>
        <item>kW</item>
      </candidateList>
      <explain/>
      <paraID>2781A07A</paraID>
      <start>15</start>
      <end>17</end>
      <status>unmodified</status>
      <modifiedWord/>
      <trackRevisions>false</trackRevisions>
    </reviewItem>
    <reviewItem>
      <errorID>eb517d46-ed4d-4d9c-b3fa-b2dd526a6e60</errorID>
      <errorWord>kw</errorWord>
      <group>L1_Word</group>
      <groupName>字词问题</groupName>
      <ability>L2_Typo</ability>
      <abilityName>字词错误</abilityName>
      <candidateList>
        <item>kW</item>
      </candidateList>
      <explain/>
      <paraID>44FF06FE</paraID>
      <start>10</start>
      <end>12</end>
      <status>unmodified</status>
      <modifiedWord/>
      <trackRevisions>false</trackRevisions>
    </reviewItem>
    <reviewItem>
      <errorID>0b5d532b-7c43-4fd4-a075-07badcd9b20f</errorID>
      <errorWord>kw</errorWord>
      <group>L1_Word</group>
      <groupName>字词问题</groupName>
      <ability>L2_Typo</ability>
      <abilityName>字词错误</abilityName>
      <candidateList>
        <item>kW</item>
      </candidateList>
      <explain/>
      <paraID>1E2A1186</paraID>
      <start>2</start>
      <end>4</end>
      <status>unmodified</status>
      <modifiedWord/>
      <trackRevisions>false</trackRevisions>
    </reviewItem>
    <reviewItem>
      <errorID>c67faa2f-3c6f-47b3-89a2-bfe06a262296</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74F04203</paraID>
      <start>27</start>
      <end>33</end>
      <status>unmodified</status>
      <modifiedWord/>
      <trackRevisions>false</trackRevisions>
    </reviewItem>
    <reviewItem>
      <errorID>f74e0697-1c75-4ac8-ac95-9cb5fb306506</errorID>
      <errorWord>(</errorWord>
      <group>L1_Format</group>
      <groupName>格式问题</groupName>
      <ability>L2_HalfPunc</ability>
      <abilityName>全半角检查</abilityName>
      <candidateList>
        <item>（</item>
      </candidateList>
      <explain>文本全半角错误。</explain>
      <paraID> 84D51C1</paraID>
      <start>3</start>
      <end>4</end>
      <status>unmodified</status>
      <modifiedWord/>
      <trackRevisions>false</trackRevisions>
    </reviewItem>
    <reviewItem>
      <errorID>b8d28abc-726f-4a55-9cb6-d08730143b24</errorID>
      <errorWord>)</errorWord>
      <group>L1_Format</group>
      <groupName>格式问题</groupName>
      <ability>L2_HalfPunc</ability>
      <abilityName>全半角检查</abilityName>
      <candidateList>
        <item>）</item>
      </candidateList>
      <explain>文本全半角错误。</explain>
      <paraID> 84D51C1</paraID>
      <start>8</start>
      <end>9</end>
      <status>unmodified</status>
      <modifiedWord/>
      <trackRevisions>false</trackRevisions>
    </reviewItem>
    <reviewItem>
      <errorID>9f2a05c0-22d8-423a-aa9d-78674bfc077b</errorID>
      <errorWord>~</errorWord>
      <group>L1_Format</group>
      <groupName>格式问题</groupName>
      <ability>L2_HalfPunc</ability>
      <abilityName>全半角检查</abilityName>
      <candidateList>
        <item>～</item>
      </candidateList>
      <explain>文本全半角错误。</explain>
      <paraID>5495F4B5</paraID>
      <start>189</start>
      <end>190</end>
      <status>unmodified</status>
      <modifiedWord/>
      <trackRevisions>false</trackRevisions>
    </reviewItem>
    <reviewItem>
      <errorID>72859b4f-5a00-4255-b82b-9cb36c5a0d73</errorID>
      <errorWord>喷砂</errorWord>
      <group>L1_Word</group>
      <groupName>字词问题</groupName>
      <ability>L2_Typo</ability>
      <abilityName>字词错误</abilityName>
      <candidateList>
        <item>喷洒</item>
      </candidateList>
      <explain>〈动〉喷射散落（多用于液体）：～农药。</explain>
      <paraID>666A885D</paraID>
      <start>0</start>
      <end>2</end>
      <status>unmodified</status>
      <modifiedWord/>
      <trackRevisions>false</trackRevisions>
    </reviewItem>
    <reviewItem>
      <errorID>60c998a9-ff3e-4598-a8d3-89e7778019c5</errorID>
      <errorWord>[2018]71号</errorWord>
      <group>L1_Knowledge</group>
      <groupName>知识性问题</groupName>
      <ability>L2_Knowledge</ability>
      <abilityName>其他知识</abilityName>
      <candidateList>
        <item>〔2018〕71号</item>
      </candidateList>
      <explain>发文字号格式错误。</explain>
      <paraID>51047FBF</paraID>
      <start>130</start>
      <end>139</end>
      <status>unmodified</status>
      <modifiedWord/>
      <trackRevisions>false</trackRevisions>
    </reviewItem>
    <reviewItem>
      <errorID>993aa4e3-5e82-4e32-bb76-f4c62996f37c</errorID>
      <errorWord>《</errorWord>
      <group>L1_Punc</group>
      <groupName>标点问题</groupName>
      <ability>L2_Punc</ability>
      <abilityName>标点符号检查</abilityName>
      <candidateList/>
      <explain/>
      <paraID>1734D774</paraID>
      <start>146</start>
      <end>147</end>
      <status>unmodified</status>
      <modifiedWord/>
      <trackRevisions>false</trackRevisions>
    </reviewItem>
    <reviewItem>
      <errorID>1849d2fd-37b7-46a3-b7a5-59c34dfe2820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1734D774</paraID>
      <start>157</start>
      <end>158</end>
      <status>unmodified</status>
      <modifiedWord/>
      <trackRevisions>false</trackRevisions>
    </reviewItem>
    <reviewItem>
      <errorID>55fcbded-fa4e-4468-8941-60c8c6b08e88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1734D774</paraID>
      <start>186</start>
      <end>187</end>
      <status>unmodified</status>
      <modifiedWord/>
      <trackRevisions>false</trackRevisions>
    </reviewItem>
    <reviewItem>
      <errorID>87cde419-f1e8-4af3-b976-01ae0e8666f3</errorID>
      <errorWord>年</errorWord>
      <group>L1_Word</group>
      <groupName>字词问题</groupName>
      <ability>L2_Typo</ability>
      <abilityName>字词错误</abilityName>
      <candidateList>
        <item>年度</item>
      </candidateList>
      <explain/>
      <paraID>5C5741F4</paraID>
      <start>0</start>
      <end>1</end>
      <status>unmodified</status>
      <modifiedWord/>
      <trackRevisions>false</trackRevisions>
    </reviewItem>
    <reviewItem>
      <errorID>417800d7-ed6f-4ad3-b480-01880a29d38a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52DEB011</paraID>
      <start>273</start>
      <end>274</end>
      <status>unmodified</status>
      <modifiedWord/>
      <trackRevisions>false</trackRevisions>
    </reviewItem>
    <reviewItem>
      <errorID>7e0d3536-da6b-47b1-9ee2-d3c8f362cf5f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52DEB011</paraID>
      <start>316</start>
      <end>317</end>
      <status>unmodified</status>
      <modifiedWord/>
      <trackRevisions>false</trackRevisions>
    </reviewItem>
    <reviewItem>
      <errorID>54ed7f95-85d3-4f2a-a64b-3aabd8a92b11</errorID>
      <errorWord>（</errorWord>
      <group>L1_Format</group>
      <groupName>格式问题</groupName>
      <ability>L2_HalfPunc</ability>
      <abilityName>全半角检查</abilityName>
      <candidateList>
        <item>(</item>
      </candidateList>
      <explain>文本全半角错误。</explain>
      <paraID>4B1C719B</paraID>
      <start>2</start>
      <end>3</end>
      <status>unmodified</status>
      <modifiedWord/>
      <trackRevisions>false</trackRevisions>
    </reviewItem>
    <reviewItem>
      <errorID>1e3eaf0e-96dd-45bd-b3ac-a8a407784f2b</errorID>
      <errorWord>）</errorWord>
      <group>L1_Format</group>
      <groupName>格式问题</groupName>
      <ability>L2_HalfPunc</ability>
      <abilityName>全半角检查</abilityName>
      <candidateList>
        <item>)</item>
      </candidateList>
      <explain>文本全半角错误。</explain>
      <paraID>4B1C719B</paraID>
      <start>9</start>
      <end>10</end>
      <status>unmodified</status>
      <modifiedWord/>
      <trackRevisions>false</trackRevisions>
    </reviewItem>
    <reviewItem>
      <errorID>0b9d5ade-f2de-45e0-b792-cedf25411ac3</errorID>
      <errorWord>况</errorWord>
      <group>L1_Word</group>
      <groupName>字词问题</groupName>
      <ability>L2_Typo</ability>
      <abilityName>字词错误</abilityName>
      <candidateList>
        <item>况下</item>
      </candidateList>
      <explain/>
      <paraID>70FBBA24</paraID>
      <start>189</start>
      <end>191</end>
      <status>modified</status>
      <modifiedWord>况下</modifiedWord>
      <trackRevisions>false</trackRevisions>
    </reviewItem>
    <reviewItem>
      <errorID>c4b9da8e-9c41-444e-8188-ac3f7858690b</errorID>
      <errorWord>（</errorWord>
      <group>L1_Format</group>
      <groupName>格式问题</groupName>
      <ability>L2_HalfPunc</ability>
      <abilityName>全半角检查</abilityName>
      <candidateList>
        <item>(</item>
      </candidateList>
      <explain>文本全半角错误。</explain>
      <paraID>72C55874</paraID>
      <start>3</start>
      <end>4</end>
      <status>unmodified</status>
      <modifiedWord/>
      <trackRevisions>false</trackRevisions>
    </reviewItem>
    <reviewItem>
      <errorID>5d7e90d9-09f0-4d98-83cb-051b45fc199d</errorID>
      <errorWord>）</errorWord>
      <group>L1_Format</group>
      <groupName>格式问题</groupName>
      <ability>L2_HalfPunc</ability>
      <abilityName>全半角检查</abilityName>
      <candidateList>
        <item>)</item>
      </candidateList>
      <explain>文本全半角错误。</explain>
      <paraID>72C55874</paraID>
      <start>9</start>
      <end>10</end>
      <status>unmodified</status>
      <modifiedWord/>
      <trackRevisions>false</trackRevisions>
    </reviewItem>
    <reviewItem>
      <errorID>d5a2ff72-1678-4e97-9d2d-12676aa50bbb</errorID>
      <errorWord>)</errorWord>
      <group>L1_Format</group>
      <groupName>格式问题</groupName>
      <ability>L2_HalfPunc</ability>
      <abilityName>全半角检查</abilityName>
      <candidateList>
        <item>）</item>
      </candidateList>
      <explain>文本全半角错误。</explain>
      <paraID>7A3B20F0</paraID>
      <start>8</start>
      <end>9</end>
      <status>unmodified</status>
      <modifiedWord/>
      <trackRevisions>false</trackRevisions>
    </reviewItem>
    <reviewItem>
      <errorID>595fdab4-288e-40f0-894f-6121402cd7d5</errorID>
      <errorWord>（</errorWord>
      <group>L1_Format</group>
      <groupName>格式问题</groupName>
      <ability>L2_HalfPunc</ability>
      <abilityName>全半角检查</abilityName>
      <candidateList>
        <item>(</item>
      </candidateList>
      <explain>文本全半角错误。</explain>
      <paraID>47658B43</paraID>
      <start>3</start>
      <end>4</end>
      <status>unmodified</status>
      <modifiedWord/>
      <trackRevisions>false</trackRevisions>
    </reviewItem>
    <reviewItem>
      <errorID>6c3040fa-c58e-4965-b323-b26e2e98797f</errorID>
      <errorWord>）</errorWord>
      <group>L1_Format</group>
      <groupName>格式问题</groupName>
      <ability>L2_HalfPunc</ability>
      <abilityName>全半角检查</abilityName>
      <candidateList>
        <item>)</item>
      </candidateList>
      <explain>文本全半角错误。</explain>
      <paraID>47658B43</paraID>
      <start>9</start>
      <end>10</end>
      <status>unmodified</status>
      <modifiedWord/>
      <trackRevisions>false</trackRevisions>
    </reviewItem>
    <reviewItem>
      <errorID>06385be8-44bb-4b8b-8221-01a5de27f0a3</errorID>
      <errorWord>（</errorWord>
      <group>L1_Format</group>
      <groupName>格式问题</groupName>
      <ability>L2_HalfPunc</ability>
      <abilityName>全半角检查</abilityName>
      <candidateList>
        <item>(</item>
      </candidateList>
      <explain>文本全半角错误。</explain>
      <paraID>6C563744</paraID>
      <start>4</start>
      <end>5</end>
      <status>unmodified</status>
      <modifiedWord/>
      <trackRevisions>false</trackRevisions>
    </reviewItem>
    <reviewItem>
      <errorID>d7ad3018-618a-48ce-8491-b6f429c63cd8</errorID>
      <errorWord>）</errorWord>
      <group>L1_Format</group>
      <groupName>格式问题</groupName>
      <ability>L2_HalfPunc</ability>
      <abilityName>全半角检查</abilityName>
      <candidateList>
        <item>)</item>
      </candidateList>
      <explain>文本全半角错误。</explain>
      <paraID>6C563744</paraID>
      <start>9</start>
      <end>10</end>
      <status>unmodified</status>
      <modifiedWord/>
      <trackRevisions>false</trackRevisions>
    </reviewItem>
    <reviewItem>
      <errorID>be520d74-91cc-4982-a337-3b6399377117</errorID>
      <errorWord>（</errorWord>
      <group>L1_Format</group>
      <groupName>格式问题</groupName>
      <ability>L2_HalfPunc</ability>
      <abilityName>全半角检查</abilityName>
      <candidateList>
        <item>(</item>
      </candidateList>
      <explain>文本全半角错误。</explain>
      <paraID>24B2E701</paraID>
      <start>2</start>
      <end>3</end>
      <status>unmodified</status>
      <modifiedWord/>
      <trackRevisions>false</trackRevisions>
    </reviewItem>
    <reviewItem>
      <errorID>89df63ef-839e-4b10-9242-38120b47643e</errorID>
      <errorWord>）</errorWord>
      <group>L1_Format</group>
      <groupName>格式问题</groupName>
      <ability>L2_HalfPunc</ability>
      <abilityName>全半角检查</abilityName>
      <candidateList>
        <item>)</item>
      </candidateList>
      <explain>文本全半角错误。</explain>
      <paraID>24B2E701</paraID>
      <start>8</start>
      <end>9</end>
      <status>unmodified</status>
      <modifiedWord/>
      <trackRevisions>false</trackRevisions>
    </reviewItem>
    <reviewItem>
      <errorID>5e727a49-a00e-482d-a891-d77cbb5f57f3</errorID>
      <errorWord>（</errorWord>
      <group>L1_Format</group>
      <groupName>格式问题</groupName>
      <ability>L2_HalfPunc</ability>
      <abilityName>全半角检查</abilityName>
      <candidateList>
        <item>(</item>
      </candidateList>
      <explain>文本全半角错误。</explain>
      <paraID>1FD92BF9</paraID>
      <start>2</start>
      <end>3</end>
      <status>unmodified</status>
      <modifiedWord/>
      <trackRevisions>false</trackRevisions>
    </reviewItem>
    <reviewItem>
      <errorID>233d2bfa-11e0-4503-b6d7-c3d28a14f98f</errorID>
      <errorWord>）</errorWord>
      <group>L1_Format</group>
      <groupName>格式问题</groupName>
      <ability>L2_HalfPunc</ability>
      <abilityName>全半角检查</abilityName>
      <candidateList>
        <item>)</item>
      </candidateList>
      <explain>文本全半角错误。</explain>
      <paraID>1FD92BF9</paraID>
      <start>8</start>
      <end>9</end>
      <status>unmodified</status>
      <modifiedWord/>
      <trackRevisions>false</trackRevisions>
    </reviewItem>
    <reviewItem>
      <errorID>c501ca9b-f4de-471e-9d48-b7249a95b9bc</errorID>
      <errorWord>（</errorWord>
      <group>L1_Format</group>
      <groupName>格式问题</groupName>
      <ability>L2_HalfPunc</ability>
      <abilityName>全半角检查</abilityName>
      <candidateList>
        <item>(</item>
      </candidateList>
      <explain>文本全半角错误。</explain>
      <paraID>6F4152BE</paraID>
      <start>2</start>
      <end>3</end>
      <status>unmodified</status>
      <modifiedWord/>
      <trackRevisions>false</trackRevisions>
    </reviewItem>
    <reviewItem>
      <errorID>c335dd07-aa0a-42fd-bfb9-51cb46fb50c4</errorID>
      <errorWord>）</errorWord>
      <group>L1_Format</group>
      <groupName>格式问题</groupName>
      <ability>L2_HalfPunc</ability>
      <abilityName>全半角检查</abilityName>
      <candidateList>
        <item>)</item>
      </candidateList>
      <explain>文本全半角错误。</explain>
      <paraID>6F4152BE</paraID>
      <start>8</start>
      <end>9</end>
      <status>unmodified</status>
      <modifiedWord/>
      <trackRevisions>false</trackRevisions>
    </reviewItem>
    <reviewItem>
      <errorID>aafb4c36-a06d-4835-8b03-56e29c15d040</errorID>
      <errorWord>（</errorWord>
      <group>L1_Format</group>
      <groupName>格式问题</groupName>
      <ability>L2_HalfPunc</ability>
      <abilityName>全半角检查</abilityName>
      <candidateList>
        <item>(</item>
      </candidateList>
      <explain>文本全半角错误。</explain>
      <paraID>50F8B0A3</paraID>
      <start>3</start>
      <end>4</end>
      <status>unmodified</status>
      <modifiedWord/>
      <trackRevisions>false</trackRevisions>
    </reviewItem>
    <reviewItem>
      <errorID>d70cbb48-757d-4e7a-b2bb-1e9cc98a666c</errorID>
      <errorWord>）</errorWord>
      <group>L1_Format</group>
      <groupName>格式问题</groupName>
      <ability>L2_HalfPunc</ability>
      <abilityName>全半角检查</abilityName>
      <candidateList>
        <item>)</item>
      </candidateList>
      <explain>文本全半角错误。</explain>
      <paraID>50F8B0A3</paraID>
      <start>9</start>
      <end>10</end>
      <status>unmodified</status>
      <modifiedWord/>
      <trackRevisions>false</trackRevisions>
    </reviewItem>
    <reviewItem>
      <errorID>8bb5abc0-2ffb-4a76-8ace-2b0865d4e99a</errorID>
      <errorWord>（</errorWord>
      <group>L1_Format</group>
      <groupName>格式问题</groupName>
      <ability>L2_HalfPunc</ability>
      <abilityName>全半角检查</abilityName>
      <candidateList>
        <item>(</item>
      </candidateList>
      <explain>文本全半角错误。</explain>
      <paraID> EC59807</paraID>
      <start>3</start>
      <end>4</end>
      <status>unmodified</status>
      <modifiedWord/>
      <trackRevisions>false</trackRevisions>
    </reviewItem>
    <reviewItem>
      <errorID>8138641b-5003-4111-a2fe-1d42b86080c4</errorID>
      <errorWord>）</errorWord>
      <group>L1_Format</group>
      <groupName>格式问题</groupName>
      <ability>L2_HalfPunc</ability>
      <abilityName>全半角检查</abilityName>
      <candidateList>
        <item>)</item>
      </candidateList>
      <explain>文本全半角错误。</explain>
      <paraID> EC59807</paraID>
      <start>9</start>
      <end>10</end>
      <status>unmodified</status>
      <modifiedWord/>
      <trackRevisions>false</trackRevisions>
    </reviewItem>
    <reviewItem>
      <errorID>a4a2f9fc-089f-4fd7-a30b-c91705351abc</errorID>
      <errorWord>（</errorWord>
      <group>L1_Format</group>
      <groupName>格式问题</groupName>
      <ability>L2_HalfPunc</ability>
      <abilityName>全半角检查</abilityName>
      <candidateList>
        <item>(</item>
      </candidateList>
      <explain>文本全半角错误。</explain>
      <paraID> C6EC7D2</paraID>
      <start>3</start>
      <end>4</end>
      <status>unmodified</status>
      <modifiedWord/>
      <trackRevisions>false</trackRevisions>
    </reviewItem>
    <reviewItem>
      <errorID>92884a39-114b-4c92-be54-53d494d22449</errorID>
      <errorWord>）</errorWord>
      <group>L1_Format</group>
      <groupName>格式问题</groupName>
      <ability>L2_HalfPunc</ability>
      <abilityName>全半角检查</abilityName>
      <candidateList>
        <item>)</item>
      </candidateList>
      <explain>文本全半角错误。</explain>
      <paraID> C6EC7D2</paraID>
      <start>9</start>
      <end>10</end>
      <status>unmodified</status>
      <modifiedWord/>
      <trackRevisions>false</trackRevisions>
    </reviewItem>
    <reviewItem>
      <errorID>9f8d2c11-d760-47f2-8319-0bc924e0a650</errorID>
      <errorWord>（</errorWord>
      <group>L1_Format</group>
      <groupName>格式问题</groupName>
      <ability>L2_HalfPunc</ability>
      <abilityName>全半角检查</abilityName>
      <candidateList>
        <item>(</item>
      </candidateList>
      <explain>文本全半角错误。</explain>
      <paraID>64928EA6</paraID>
      <start>3</start>
      <end>4</end>
      <status>unmodified</status>
      <modifiedWord/>
      <trackRevisions>false</trackRevisions>
    </reviewItem>
    <reviewItem>
      <errorID>83b85c11-bcef-4a47-a706-6fc62fe5fe7b</errorID>
      <errorWord>）</errorWord>
      <group>L1_Format</group>
      <groupName>格式问题</groupName>
      <ability>L2_HalfPunc</ability>
      <abilityName>全半角检查</abilityName>
      <candidateList>
        <item>)</item>
      </candidateList>
      <explain>文本全半角错误。</explain>
      <paraID>64928EA6</paraID>
      <start>9</start>
      <end>10</end>
      <status>unmodified</status>
      <modifiedWord/>
      <trackRevisions>false</trackRevisions>
    </reviewItem>
    <reviewItem>
      <errorID>98eafa8f-e36d-4e37-93f6-e5e8c3987dbf</errorID>
      <errorWord>（</errorWord>
      <group>L1_Format</group>
      <groupName>格式问题</groupName>
      <ability>L2_HalfPunc</ability>
      <abilityName>全半角检查</abilityName>
      <candidateList>
        <item>(</item>
      </candidateList>
      <explain>文本全半角错误。</explain>
      <paraID>648EA1EB</paraID>
      <start>3</start>
      <end>4</end>
      <status>unmodified</status>
      <modifiedWord/>
      <trackRevisions>false</trackRevisions>
    </reviewItem>
    <reviewItem>
      <errorID>aec0f689-d714-4506-9963-110ac19a5547</errorID>
      <errorWord>）</errorWord>
      <group>L1_Format</group>
      <groupName>格式问题</groupName>
      <ability>L2_HalfPunc</ability>
      <abilityName>全半角检查</abilityName>
      <candidateList>
        <item>)</item>
      </candidateList>
      <explain>文本全半角错误。</explain>
      <paraID>648EA1EB</paraID>
      <start>9</start>
      <end>10</end>
      <status>unmodified</status>
      <modifiedWord/>
      <trackRevisions>false</trackRevisions>
    </reviewItem>
    <reviewItem>
      <errorID>193ff441-c442-4c7f-aedd-785d4964f33e</errorID>
      <errorWord>（</errorWord>
      <group>L1_Format</group>
      <groupName>格式问题</groupName>
      <ability>L2_HalfPunc</ability>
      <abilityName>全半角检查</abilityName>
      <candidateList>
        <item>(</item>
      </candidateList>
      <explain>文本全半角错误。</explain>
      <paraID>5E83F6C2</paraID>
      <start>4</start>
      <end>5</end>
      <status>unmodified</status>
      <modifiedWord/>
      <trackRevisions>false</trackRevisions>
    </reviewItem>
    <reviewItem>
      <errorID>da7eff5c-bd9c-4207-9e38-a056c5f9a452</errorID>
      <errorWord>）</errorWord>
      <group>L1_Format</group>
      <groupName>格式问题</groupName>
      <ability>L2_HalfPunc</ability>
      <abilityName>全半角检查</abilityName>
      <candidateList>
        <item>)</item>
      </candidateList>
      <explain>文本全半角错误。</explain>
      <paraID>5E83F6C2</paraID>
      <start>10</start>
      <end>11</end>
      <status>unmodified</status>
      <modifiedWord/>
      <trackRevisions>false</trackRevisions>
    </reviewItem>
    <reviewItem>
      <errorID>5e133bd7-9919-43a7-9365-e11e657988e4</errorID>
      <errorWord>（</errorWord>
      <group>L1_Format</group>
      <groupName>格式问题</groupName>
      <ability>L2_HalfPunc</ability>
      <abilityName>全半角检查</abilityName>
      <candidateList>
        <item>(</item>
      </candidateList>
      <explain>文本全半角错误。</explain>
      <paraID>6BEBEFE7</paraID>
      <start>3</start>
      <end>4</end>
      <status>unmodified</status>
      <modifiedWord/>
      <trackRevisions>false</trackRevisions>
    </reviewItem>
    <reviewItem>
      <errorID>5875a4b7-c0ef-404c-9616-191035f309d5</errorID>
      <errorWord>）</errorWord>
      <group>L1_Format</group>
      <groupName>格式问题</groupName>
      <ability>L2_HalfPunc</ability>
      <abilityName>全半角检查</abilityName>
      <candidateList>
        <item>)</item>
      </candidateList>
      <explain>文本全半角错误。</explain>
      <paraID>6BEBEFE7</paraID>
      <start>9</start>
      <end>10</end>
      <status>unmodified</status>
      <modifiedWord/>
      <trackRevisions>false</trackRevisions>
    </reviewItem>
    <reviewItem>
      <errorID>e6113872-7696-4122-b322-5ee9b02a558e</errorID>
      <errorWord>（</errorWord>
      <group>L1_Punc</group>
      <groupName>标点问题</groupName>
      <ability>L2_Punc</ability>
      <abilityName>标点符号检查</abilityName>
      <candidateList/>
      <explain/>
      <paraID>1FF5C1B3</paraID>
      <start>58</start>
      <end>59</end>
      <status>unmodified</status>
      <modifiedWord/>
      <trackRevisions>false</trackRevisions>
    </reviewItem>
    <reviewItem>
      <errorID>e5956627-70e9-49a2-a64a-6663add506a5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1FF5C1B3</paraID>
      <start>81</start>
      <end>82</end>
      <status>unmodified</status>
      <modifiedWord/>
      <trackRevisions>false</trackRevisions>
    </reviewItem>
    <reviewItem>
      <errorID>650fc7a9-9a81-40f9-90c7-5ba62b6180d0</errorID>
      <errorWord>（</errorWord>
      <group>L1_Format</group>
      <groupName>格式问题</groupName>
      <ability>L2_HalfPunc</ability>
      <abilityName>全半角检查</abilityName>
      <candidateList>
        <item>(</item>
      </candidateList>
      <explain>文本全半角错误。</explain>
      <paraID> BEA0ABE</paraID>
      <start>3</start>
      <end>4</end>
      <status>unmodified</status>
      <modifiedWord/>
      <trackRevisions>false</trackRevisions>
    </reviewItem>
    <reviewItem>
      <errorID>5eb9f754-2e9e-47c8-8f36-758147ec7a71</errorID>
      <errorWord>）</errorWord>
      <group>L1_Format</group>
      <groupName>格式问题</groupName>
      <ability>L2_HalfPunc</ability>
      <abilityName>全半角检查</abilityName>
      <candidateList>
        <item>)</item>
      </candidateList>
      <explain>文本全半角错误。</explain>
      <paraID> BEA0ABE</paraID>
      <start>8</start>
      <end>9</end>
      <status>unmodified</status>
      <modifiedWord/>
      <trackRevisions>false</trackRevisions>
    </reviewItem>
    <reviewItem>
      <errorID>8d6c70af-1932-4bf3-80f4-1b5bd2d90ede</errorID>
      <errorWord>（</errorWord>
      <group>L1_Format</group>
      <groupName>格式问题</groupName>
      <ability>L2_HalfPunc</ability>
      <abilityName>全半角检查</abilityName>
      <candidateList>
        <item>(</item>
      </candidateList>
      <explain>文本全半角错误。</explain>
      <paraID>212C4B5D</paraID>
      <start>3</start>
      <end>4</end>
      <status>unmodified</status>
      <modifiedWord/>
      <trackRevisions>false</trackRevisions>
    </reviewItem>
    <reviewItem>
      <errorID>80696949-c367-4921-bfc1-d1c3a4beaa23</errorID>
      <errorWord>）</errorWord>
      <group>L1_Format</group>
      <groupName>格式问题</groupName>
      <ability>L2_HalfPunc</ability>
      <abilityName>全半角检查</abilityName>
      <candidateList>
        <item>)</item>
      </candidateList>
      <explain>文本全半角错误。</explain>
      <paraID>212C4B5D</paraID>
      <start>8</start>
      <end>9</end>
      <status>unmodified</status>
      <modifiedWord/>
      <trackRevisions>false</trackRevisions>
    </reviewItem>
    <reviewItem>
      <errorID>f7f7c9b3-304c-47d8-88ca-5994c772c03e</errorID>
      <errorWord>（</errorWord>
      <group>L1_Format</group>
      <groupName>格式问题</groupName>
      <ability>L2_HalfPunc</ability>
      <abilityName>全半角检查</abilityName>
      <candidateList>
        <item>(</item>
      </candidateList>
      <explain>文本全半角错误。</explain>
      <paraID>62071565</paraID>
      <start>3</start>
      <end>4</end>
      <status>unmodified</status>
      <modifiedWord/>
      <trackRevisions>false</trackRevisions>
    </reviewItem>
    <reviewItem>
      <errorID>07d911db-f517-445d-ad8c-dee2335f16aa</errorID>
      <errorWord>）</errorWord>
      <group>L1_Format</group>
      <groupName>格式问题</groupName>
      <ability>L2_HalfPunc</ability>
      <abilityName>全半角检查</abilityName>
      <candidateList>
        <item>)</item>
      </candidateList>
      <explain>文本全半角错误。</explain>
      <paraID>62071565</paraID>
      <start>8</start>
      <end>9</end>
      <status>unmodified</status>
      <modifiedWord/>
      <trackRevisions>false</trackRevisions>
    </reviewItem>
    <reviewItem>
      <errorID>2f420981-f220-4941-8476-bf08b6c1b507</errorID>
      <errorWord>（</errorWord>
      <group>L1_Format</group>
      <groupName>格式问题</groupName>
      <ability>L2_HalfPunc</ability>
      <abilityName>全半角检查</abilityName>
      <candidateList>
        <item>(</item>
      </candidateList>
      <explain>文本全半角错误。</explain>
      <paraID>59F020DD</paraID>
      <start>2</start>
      <end>3</end>
      <status>unmodified</status>
      <modifiedWord/>
      <trackRevisions>false</trackRevisions>
    </reviewItem>
    <reviewItem>
      <errorID>81212f7e-7ce0-47ab-872e-bb700cb7439a</errorID>
      <errorWord>）</errorWord>
      <group>L1_Format</group>
      <groupName>格式问题</groupName>
      <ability>L2_HalfPunc</ability>
      <abilityName>全半角检查</abilityName>
      <candidateList>
        <item>)</item>
      </candidateList>
      <explain>文本全半角错误。</explain>
      <paraID>59F020DD</paraID>
      <start>7</start>
      <end>8</end>
      <status>unmodified</status>
      <modifiedWord/>
      <trackRevisions>false</trackRevisions>
    </reviewItem>
    <reviewItem>
      <errorID>84d19b58-2784-4d33-a3db-89fe4f25c56b</errorID>
      <errorWord>（</errorWord>
      <group>L1_Format</group>
      <groupName>格式问题</groupName>
      <ability>L2_HalfPunc</ability>
      <abilityName>全半角检查</abilityName>
      <candidateList>
        <item>(</item>
      </candidateList>
      <explain>文本全半角错误。</explain>
      <paraID> B8D748A</paraID>
      <start>2</start>
      <end>3</end>
      <status>unmodified</status>
      <modifiedWord/>
      <trackRevisions>false</trackRevisions>
    </reviewItem>
    <reviewItem>
      <errorID>88630254-b55f-43d6-b826-4ce0cddccdd6</errorID>
      <errorWord>）</errorWord>
      <group>L1_Format</group>
      <groupName>格式问题</groupName>
      <ability>L2_HalfPunc</ability>
      <abilityName>全半角检查</abilityName>
      <candidateList>
        <item>)</item>
      </candidateList>
      <explain>文本全半角错误。</explain>
      <paraID> B8D748A</paraID>
      <start>7</start>
      <end>8</end>
      <status>unmodified</status>
      <modifiedWord/>
      <trackRevisions>false</trackRevisions>
    </reviewItem>
    <reviewItem>
      <errorID>60aa734d-c093-4aa3-9c0b-4b7ac5aba124</errorID>
      <errorWord>（</errorWord>
      <group>L1_Format</group>
      <groupName>格式问题</groupName>
      <ability>L2_HalfPunc</ability>
      <abilityName>全半角检查</abilityName>
      <candidateList>
        <item>(</item>
      </candidateList>
      <explain>文本全半角错误。</explain>
      <paraID>22435109</paraID>
      <start>1</start>
      <end>2</end>
      <status>unmodified</status>
      <modifiedWord/>
      <trackRevisions>false</trackRevisions>
    </reviewItem>
    <reviewItem>
      <errorID>19b8a2a4-53bf-49da-a479-e468a111a447</errorID>
      <errorWord>）</errorWord>
      <group>L1_Format</group>
      <groupName>格式问题</groupName>
      <ability>L2_HalfPunc</ability>
      <abilityName>全半角检查</abilityName>
      <candidateList>
        <item>)</item>
      </candidateList>
      <explain>文本全半角错误。</explain>
      <paraID>22435109</paraID>
      <start>6</start>
      <end>7</end>
      <status>unmodified</status>
      <modifiedWord/>
      <trackRevisions>false</trackRevisions>
    </reviewItem>
    <reviewItem>
      <errorID>e53a7c1c-c536-41e9-a5fe-5d27f2fd49fa</errorID>
      <errorWord>)</errorWord>
      <group>L1_Format</group>
      <groupName>格式问题</groupName>
      <ability>L2_HalfPunc</ability>
      <abilityName>全半角检查</abilityName>
      <candidateList>
        <item>）</item>
      </candidateList>
      <explain>文本全半角错误。</explain>
      <paraID>201703F0</paraID>
      <start>7</start>
      <end>8</end>
      <status>unmodified</status>
      <modifiedWord/>
      <trackRevisions>false</trackRevisions>
    </reviewItem>
    <reviewItem>
      <errorID>933e085f-1011-4731-823c-f251674abdc0</errorID>
      <errorWord>)</errorWord>
      <group>L1_Format</group>
      <groupName>格式问题</groupName>
      <ability>L2_HalfPunc</ability>
      <abilityName>全半角检查</abilityName>
      <candidateList>
        <item>）</item>
      </candidateList>
      <explain>文本全半角错误。</explain>
      <paraID>69202746</paraID>
      <start>7</start>
      <end>8</end>
      <status>unmodified</status>
      <modifiedWord/>
      <trackRevisions>false</trackRevisions>
    </reviewItem>
    <reviewItem>
      <errorID>d098d57c-c843-4137-aff3-8cc89fe0f5b3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5048FDE2</paraID>
      <start>25</start>
      <end>28</end>
      <status>unmodified</status>
      <modifiedWord/>
      <trackRevisions>false</trackRevisions>
    </reviewItem>
    <reviewItem>
      <errorID>1c666811-2600-4c7e-a99d-bc4ab68aed23</errorID>
      <errorWord>~</errorWord>
      <group>L1_Format</group>
      <groupName>格式问题</groupName>
      <ability>L2_HalfPunc</ability>
      <abilityName>全半角检查</abilityName>
      <candidateList>
        <item>～</item>
      </candidateList>
      <explain>文本全半角错误。</explain>
      <paraID>6C8EE415</paraID>
      <start>55</start>
      <end>56</end>
      <status>unmodified</status>
      <modifiedWord/>
      <trackRevisions>false</trackRevisions>
    </reviewItem>
    <reviewItem>
      <errorID>6935aeef-4522-4030-a759-f32110b04acb</errorID>
      <errorWord>下角料</errorWord>
      <group>L1_Word</group>
      <groupName>字词问题</groupName>
      <ability>L2_Typo</ability>
      <abilityName>字词错误</abilityName>
      <candidateList>
        <item>下脚料</item>
      </candidateList>
      <explain/>
      <paraID>6C8EE415</paraID>
      <start>132</start>
      <end>135</end>
      <status>unmodified</status>
      <modifiedWord/>
      <trackRevisions>false</trackRevisions>
    </reviewItem>
    <reviewItem>
      <errorID>e3f618dd-c9e4-4d51-8306-7f0994faf98d</errorID>
      <errorWord>喷砂</errorWord>
      <group>L1_Word</group>
      <groupName>字词问题</groupName>
      <ability>L2_Typo</ability>
      <abilityName>字词错误</abilityName>
      <candidateList>
        <item>喷洒</item>
      </candidateList>
      <explain>〈动〉喷射散落（多用于液体）：～农药。</explain>
      <paraID>46F81EAE</paraID>
      <start>0</start>
      <end>2</end>
      <status>unmodified</status>
      <modifiedWord/>
      <trackRevisions>false</trackRevisions>
    </reviewItem>
    <reviewItem>
      <errorID>6a0c5578-f97b-4468-a37a-9dcd3bb3fc8c</errorID>
      <errorWord>-</errorWord>
      <group>L1_Format</group>
      <groupName>格式问题</groupName>
      <ability>L2_HalfPunc</ability>
      <abilityName>全半角检查</abilityName>
      <candidateList>
        <item>－</item>
      </candidateList>
      <explain>文本全半角错误。</explain>
      <paraID> 411D1E6</paraID>
      <start>92</start>
      <end>93</end>
      <status>unmodified</status>
      <modifiedWord/>
      <trackRevisions>false</trackRevisions>
    </reviewItem>
    <reviewItem>
      <errorID>e0327c8f-54ed-4b27-bc07-83a88ea87291</errorID>
      <errorWord>-</errorWord>
      <group>L1_Format</group>
      <groupName>格式问题</groupName>
      <ability>L2_HalfPunc</ability>
      <abilityName>全半角检查</abilityName>
      <candidateList>
        <item>－</item>
      </candidateList>
      <explain>文本全半角错误。</explain>
      <paraID> 411D1E6</paraID>
      <start>99</start>
      <end>100</end>
      <status>unmodified</status>
      <modifiedWord/>
      <trackRevisions>false</trackRevisions>
    </reviewItem>
    <reviewItem>
      <errorID>e2f7c4dd-7138-4e72-b017-26555311bd66</errorID>
      <errorWord>&lt;</errorWord>
      <group>L1_Format</group>
      <groupName>格式问题</groupName>
      <ability>L2_HalfPunc</ability>
      <abilityName>全半角检查</abilityName>
      <candidateList>
        <item>〈</item>
      </candidateList>
      <explain>文本全半角错误。</explain>
      <paraID>2D801B27</paraID>
      <start>21</start>
      <end>22</end>
      <status>unmodified</status>
      <modifiedWord/>
      <trackRevisions>false</trackRevisions>
    </reviewItem>
    <reviewItem>
      <errorID>b02df97a-57da-4149-a332-3c9cd4123493</errorID>
      <errorWord>&gt;的通知》</errorWord>
      <group>L1_Punc</group>
      <groupName>标点问题</groupName>
      <ability>L2_Punc</ability>
      <abilityName>标点符号检查</abilityName>
      <candidateList>
        <item>〉的通知》</item>
      </candidateList>
      <explain/>
      <paraID>2D801B27</paraID>
      <start>44</start>
      <end>49</end>
      <status>unmodified</status>
      <modifiedWord/>
      <trackRevisions>false</trackRevisions>
    </reviewItem>
    <reviewItem>
      <errorID>7c890509-abfc-4d33-8cc7-075834796925</errorID>
      <errorWord>-</errorWord>
      <group>L1_Format</group>
      <groupName>格式问题</groupName>
      <ability>L2_HalfPunc</ability>
      <abilityName>全半角检查</abilityName>
      <candidateList>
        <item>－</item>
      </candidateList>
      <explain>文本全半角错误。</explain>
      <paraID>2D801B27</paraID>
      <start>168</start>
      <end>169</end>
      <status>unmodified</status>
      <modifiedWord/>
      <trackRevisions>false</trackRevisions>
    </reviewItem>
    <reviewItem>
      <errorID>60fbb391-0782-4ea2-97c2-b24d6413be91</errorID>
      <errorWord>-</errorWord>
      <group>L1_Format</group>
      <groupName>格式问题</groupName>
      <ability>L2_HalfPunc</ability>
      <abilityName>全半角检查</abilityName>
      <candidateList>
        <item>－</item>
      </candidateList>
      <explain>文本全半角错误。</explain>
      <paraID>2D801B27</paraID>
      <start>175</start>
      <end>176</end>
      <status>unmodified</status>
      <modifiedWord/>
      <trackRevisions>false</trackRevisions>
    </reviewItem>
    <reviewItem>
      <errorID>d7d7aab0-b87f-4e14-ac48-2b0203538956</errorID>
      <errorWord>-</errorWord>
      <group>L1_Format</group>
      <groupName>格式问题</groupName>
      <ability>L2_HalfPunc</ability>
      <abilityName>全半角检查</abilityName>
      <candidateList>
        <item>－</item>
      </candidateList>
      <explain>文本全半角错误。</explain>
      <paraID>2D801B27</paraID>
      <start>283</start>
      <end>284</end>
      <status>unmodified</status>
      <modifiedWord/>
      <trackRevisions>false</trackRevisions>
    </reviewItem>
    <reviewItem>
      <errorID>52f841b4-aaee-4a7a-b028-10c9c258834e</errorID>
      <errorWord>(</errorWord>
      <group>L1_Format</group>
      <groupName>格式问题</groupName>
      <ability>L2_HalfPunc</ability>
      <abilityName>全半角检查</abilityName>
      <candidateList>
        <item>（</item>
      </candidateList>
      <explain>文本全半角错误。</explain>
      <paraID>6EC3F65F</paraID>
      <start>3</start>
      <end>4</end>
      <status>unmodified</status>
      <modifiedWord/>
      <trackRevisions>false</trackRevisions>
    </reviewItem>
    <reviewItem>
      <errorID>77f571e5-7c24-44db-ba68-6c4ecdea8aa3</errorID>
      <errorWord>)</errorWord>
      <group>L1_Format</group>
      <groupName>格式问题</groupName>
      <ability>L2_HalfPunc</ability>
      <abilityName>全半角检查</abilityName>
      <candidateList>
        <item>）</item>
      </candidateList>
      <explain>文本全半角错误。</explain>
      <paraID>6EC3F65F</paraID>
      <start>7</start>
      <end>8</end>
      <status>unmodified</status>
      <modifiedWord/>
      <trackRevisions>false</trackRevisions>
    </reviewItem>
    <reviewItem>
      <errorID>f31cef64-ade0-4fc8-b32b-050f744fc401</errorID>
      <errorWord>(</errorWord>
      <group>L1_Format</group>
      <groupName>格式问题</groupName>
      <ability>L2_HalfPunc</ability>
      <abilityName>全半角检查</abilityName>
      <candidateList>
        <item>（</item>
      </candidateList>
      <explain>文本全半角错误。</explain>
      <paraID>68156015</paraID>
      <start>4</start>
      <end>5</end>
      <status>unmodified</status>
      <modifiedWord/>
      <trackRevisions>false</trackRevisions>
    </reviewItem>
    <reviewItem>
      <errorID>df164a00-8924-4e78-9908-8fd17c59cf73</errorID>
      <errorWord>)</errorWord>
      <group>L1_Format</group>
      <groupName>格式问题</groupName>
      <ability>L2_HalfPunc</ability>
      <abilityName>全半角检查</abilityName>
      <candidateList>
        <item>）</item>
      </candidateList>
      <explain>文本全半角错误。</explain>
      <paraID>68156015</paraID>
      <start>9</start>
      <end>10</end>
      <status>unmodified</status>
      <modifiedWord/>
      <trackRevisions>false</trackRevisions>
    </reviewItem>
    <reviewItem>
      <errorID>9725cbfc-c070-46fb-aaec-5b3e3a2f5fde</errorID>
      <errorWord>(</errorWord>
      <group>L1_Format</group>
      <groupName>格式问题</groupName>
      <ability>L2_HalfPunc</ability>
      <abilityName>全半角检查</abilityName>
      <candidateList>
        <item>（</item>
      </candidateList>
      <explain>文本全半角错误。</explain>
      <paraID>173B3458</paraID>
      <start>4</start>
      <end>5</end>
      <status>unmodified</status>
      <modifiedWord/>
      <trackRevisions>false</trackRevisions>
    </reviewItem>
    <reviewItem>
      <errorID>f204a7a7-2e07-4e24-a3d3-881db6e72a0c</errorID>
      <errorWord>)</errorWord>
      <group>L1_Format</group>
      <groupName>格式问题</groupName>
      <ability>L2_HalfPunc</ability>
      <abilityName>全半角检查</abilityName>
      <candidateList>
        <item>）</item>
      </candidateList>
      <explain>文本全半角错误。</explain>
      <paraID>173B3458</paraID>
      <start>10</start>
      <end>11</end>
      <status>unmodified</status>
      <modifiedWord/>
      <trackRevisions>false</trackRevisions>
    </reviewItem>
    <reviewItem>
      <errorID>440bd03e-45c3-41ac-88b9-5c5b9aba7432</errorID>
      <errorWord>(</errorWord>
      <group>L1_Format</group>
      <groupName>格式问题</groupName>
      <ability>L2_HalfPunc</ability>
      <abilityName>全半角检查</abilityName>
      <candidateList>
        <item>（</item>
      </candidateList>
      <explain>文本全半角错误。</explain>
      <paraID>424E9A61</paraID>
      <start>3</start>
      <end>4</end>
      <status>unmodified</status>
      <modifiedWord/>
      <trackRevisions>false</trackRevisions>
    </reviewItem>
    <reviewItem>
      <errorID>080e52b9-4f1f-4191-90be-3a259b582d9d</errorID>
      <errorWord>)</errorWord>
      <group>L1_Format</group>
      <groupName>格式问题</groupName>
      <ability>L2_HalfPunc</ability>
      <abilityName>全半角检查</abilityName>
      <candidateList>
        <item>）</item>
      </candidateList>
      <explain>文本全半角错误。</explain>
      <paraID>424E9A61</paraID>
      <start>7</start>
      <end>8</end>
      <status>unmodified</status>
      <modifiedWord/>
      <trackRevisions>false</trackRevisions>
    </reviewItem>
    <reviewItem>
      <errorID>6d2add71-1201-4729-bf83-1ee9b18fbc23</errorID>
      <errorWord>(</errorWord>
      <group>L1_Format</group>
      <groupName>格式问题</groupName>
      <ability>L2_HalfPunc</ability>
      <abilityName>全半角检查</abilityName>
      <candidateList>
        <item>（</item>
      </candidateList>
      <explain>文本全半角错误。</explain>
      <paraID>1358BC01</paraID>
      <start>4</start>
      <end>5</end>
      <status>unmodified</status>
      <modifiedWord/>
      <trackRevisions>false</trackRevisions>
    </reviewItem>
    <reviewItem>
      <errorID>f51fb28d-5ba9-481d-b988-6581eaaeab31</errorID>
      <errorWord>)</errorWord>
      <group>L1_Format</group>
      <groupName>格式问题</groupName>
      <ability>L2_HalfPunc</ability>
      <abilityName>全半角检查</abilityName>
      <candidateList>
        <item>）</item>
      </candidateList>
      <explain>文本全半角错误。</explain>
      <paraID>1358BC01</paraID>
      <start>9</start>
      <end>10</end>
      <status>unmodified</status>
      <modifiedWord/>
      <trackRevisions>false</trackRevisions>
    </reviewItem>
    <reviewItem>
      <errorID>36618e65-01bb-4afd-821b-1cf19c5dfcb7</errorID>
      <errorWord>(</errorWord>
      <group>L1_Format</group>
      <groupName>格式问题</groupName>
      <ability>L2_HalfPunc</ability>
      <abilityName>全半角检查</abilityName>
      <candidateList>
        <item>（</item>
      </candidateList>
      <explain>文本全半角错误。</explain>
      <paraID>60BE872F</paraID>
      <start>4</start>
      <end>5</end>
      <status>unmodified</status>
      <modifiedWord/>
      <trackRevisions>false</trackRevisions>
    </reviewItem>
    <reviewItem>
      <errorID>49d9ddb1-4203-4375-81f8-9091bcdfc827</errorID>
      <errorWord>)</errorWord>
      <group>L1_Format</group>
      <groupName>格式问题</groupName>
      <ability>L2_HalfPunc</ability>
      <abilityName>全半角检查</abilityName>
      <candidateList>
        <item>）</item>
      </candidateList>
      <explain>文本全半角错误。</explain>
      <paraID>60BE872F</paraID>
      <start>10</start>
      <end>11</end>
      <status>unmodified</status>
      <modifiedWord/>
      <trackRevisions>false</trackRevisions>
    </reviewItem>
    <reviewItem>
      <errorID>f11d8123-4a5c-4209-94f4-ae5d943b999f</errorID>
      <errorWord>份</errorWord>
      <group>L1_Knowledge</group>
      <groupName>知识性问题</groupName>
      <ability>L2_Knowledge</ability>
      <abilityName>其他知识</abilityName>
      <candidateList>
        <item>分</item>
      </candidateList>
      <explain>请检查“份”是否为量词使用错误，建议修改为“分”。</explain>
      <paraID> AB9FADA</paraID>
      <start>65</start>
      <end>66</end>
      <status>unmodified</status>
      <modifiedWord/>
      <trackRevisions>false</trackRevisions>
    </reviewItem>
    <reviewItem>
      <errorID>30d5fe30-b3dd-4497-b397-053633304dd8</errorID>
      <errorWord>份</errorWord>
      <group>L1_Word</group>
      <groupName>字词问题</groupName>
      <ability>L2_Typo</ability>
      <abilityName>字词错误</abilityName>
      <candidateList>
        <item>的</item>
      </candidateList>
      <explain>“的”常用于连接修饰语与名词性中心语，表示属性、所属或描述。</explain>
      <paraID>5B0BFE2A</paraID>
      <start>2</start>
      <end>3</end>
      <status>unmodified</status>
      <modifiedWord/>
      <trackRevisions>false</trackRevisions>
    </reviewItem>
    <reviewItem>
      <errorID>3d512ce3-3fd8-4567-9207-785c42e32614</errorID>
      <errorWord>溶剂型</errorWord>
      <group>L1_Word</group>
      <groupName>字词问题</groupName>
      <ability>L2_Typo</ability>
      <abilityName>字词错误</abilityName>
      <candidateList>
        <item>溶剂性</item>
      </candidateList>
      <explain/>
      <paraID>7FF7EB08</paraID>
      <start>266</start>
      <end>269</end>
      <status>unmodified</status>
      <modifiedWord/>
      <trackRevisions>false</trackRevisions>
    </reviewItem>
    <reviewItem>
      <errorID>34a0c971-271c-452f-972b-ce2fd534ced5</errorID>
      <errorWord>&lt;</errorWord>
      <group>L1_Format</group>
      <groupName>格式问题</groupName>
      <ability>L2_HalfPunc</ability>
      <abilityName>全半角检查</abilityName>
      <candidateList>
        <item>〈</item>
      </candidateList>
      <explain>文本全半角错误。</explain>
      <paraID>46AA2EF7</paraID>
      <start>21</start>
      <end>22</end>
      <status>unmodified</status>
      <modifiedWord/>
      <trackRevisions>false</trackRevisions>
    </reviewItem>
    <reviewItem>
      <errorID>ea3c790a-ecf4-4086-a940-a5b1485ae0e9</errorID>
      <errorWord>&gt;的通知》</errorWord>
      <group>L1_Punc</group>
      <groupName>标点问题</groupName>
      <ability>L2_Punc</ability>
      <abilityName>标点符号检查</abilityName>
      <candidateList>
        <item>〉的通知》</item>
      </candidateList>
      <explain/>
      <paraID>46AA2EF7</paraID>
      <start>44</start>
      <end>49</end>
      <status>unmodified</status>
      <modifiedWord/>
      <trackRevisions>false</trackRevisions>
    </reviewItem>
    <reviewItem>
      <errorID>24a9a942-a77b-425f-8804-29a109ec709c</errorID>
      <errorWord>(</errorWord>
      <group>L1_Format</group>
      <groupName>格式问题</groupName>
      <ability>L2_HalfPunc</ability>
      <abilityName>全半角检查</abilityName>
      <candidateList>
        <item>（</item>
      </candidateList>
      <explain>文本全半角错误。</explain>
      <paraID>1DC8072A</paraID>
      <start>3</start>
      <end>4</end>
      <status>unmodified</status>
      <modifiedWord/>
      <trackRevisions>false</trackRevisions>
    </reviewItem>
    <reviewItem>
      <errorID>9343e028-6f69-4838-81a0-51efe2b95a52</errorID>
      <errorWord>)</errorWord>
      <group>L1_Format</group>
      <groupName>格式问题</groupName>
      <ability>L2_HalfPunc</ability>
      <abilityName>全半角检查</abilityName>
      <candidateList>
        <item>）</item>
      </candidateList>
      <explain>文本全半角错误。</explain>
      <paraID>1DC8072A</paraID>
      <start>7</start>
      <end>8</end>
      <status>unmodified</status>
      <modifiedWord/>
      <trackRevisions>false</trackRevisions>
    </reviewItem>
    <reviewItem>
      <errorID>8a5d33ba-708d-45c0-98f5-d347e7732b45</errorID>
      <errorWord>(</errorWord>
      <group>L1_Format</group>
      <groupName>格式问题</groupName>
      <ability>L2_HalfPunc</ability>
      <abilityName>全半角检查</abilityName>
      <candidateList>
        <item>（</item>
      </candidateList>
      <explain>文本全半角错误。</explain>
      <paraID>169D235E</paraID>
      <start>4</start>
      <end>5</end>
      <status>unmodified</status>
      <modifiedWord/>
      <trackRevisions>false</trackRevisions>
    </reviewItem>
    <reviewItem>
      <errorID>2154dbbe-cb56-417f-b78e-eed0d32225a3</errorID>
      <errorWord>)</errorWord>
      <group>L1_Format</group>
      <groupName>格式问题</groupName>
      <ability>L2_HalfPunc</ability>
      <abilityName>全半角检查</abilityName>
      <candidateList>
        <item>）</item>
      </candidateList>
      <explain>文本全半角错误。</explain>
      <paraID>169D235E</paraID>
      <start>9</start>
      <end>10</end>
      <status>unmodified</status>
      <modifiedWord/>
      <trackRevisions>false</trackRevisions>
    </reviewItem>
    <reviewItem>
      <errorID>6329148c-61a4-4b34-aacf-9b69f34a9b2e</errorID>
      <errorWord>(</errorWord>
      <group>L1_Format</group>
      <groupName>格式问题</groupName>
      <ability>L2_HalfPunc</ability>
      <abilityName>全半角检查</abilityName>
      <candidateList>
        <item>（</item>
      </candidateList>
      <explain>文本全半角错误。</explain>
      <paraID>5A3A16A1</paraID>
      <start>4</start>
      <end>5</end>
      <status>unmodified</status>
      <modifiedWord/>
      <trackRevisions>false</trackRevisions>
    </reviewItem>
    <reviewItem>
      <errorID>a96e980b-d40e-4f9b-9c52-50f84e674cd2</errorID>
      <errorWord>)</errorWord>
      <group>L1_Format</group>
      <groupName>格式问题</groupName>
      <ability>L2_HalfPunc</ability>
      <abilityName>全半角检查</abilityName>
      <candidateList>
        <item>）</item>
      </candidateList>
      <explain>文本全半角错误。</explain>
      <paraID>5A3A16A1</paraID>
      <start>10</start>
      <end>11</end>
      <status>unmodified</status>
      <modifiedWord/>
      <trackRevisions>false</trackRevisions>
    </reviewItem>
    <reviewItem>
      <errorID>98f31042-2635-4567-80ce-36e1d26914dd</errorID>
      <errorWord>(</errorWord>
      <group>L1_Format</group>
      <groupName>格式问题</groupName>
      <ability>L2_HalfPunc</ability>
      <abilityName>全半角检查</abilityName>
      <candidateList>
        <item>（</item>
      </candidateList>
      <explain>文本全半角错误。</explain>
      <paraID> 1A8C1CE</paraID>
      <start>3</start>
      <end>4</end>
      <status>unmodified</status>
      <modifiedWord/>
      <trackRevisions>false</trackRevisions>
    </reviewItem>
    <reviewItem>
      <errorID>0490ce31-95a7-4d3d-9dba-cca7fbf3711e</errorID>
      <errorWord>)</errorWord>
      <group>L1_Format</group>
      <groupName>格式问题</groupName>
      <ability>L2_HalfPunc</ability>
      <abilityName>全半角检查</abilityName>
      <candidateList>
        <item>）</item>
      </candidateList>
      <explain>文本全半角错误。</explain>
      <paraID> 1A8C1CE</paraID>
      <start>7</start>
      <end>8</end>
      <status>unmodified</status>
      <modifiedWord/>
      <trackRevisions>false</trackRevisions>
    </reviewItem>
    <reviewItem>
      <errorID>5b072e6e-2bd8-4395-8c9b-bf1d7faab09e</errorID>
      <errorWord>(</errorWord>
      <group>L1_Format</group>
      <groupName>格式问题</groupName>
      <ability>L2_HalfPunc</ability>
      <abilityName>全半角检查</abilityName>
      <candidateList>
        <item>（</item>
      </candidateList>
      <explain>文本全半角错误。</explain>
      <paraID>2CC25629</paraID>
      <start>4</start>
      <end>5</end>
      <status>unmodified</status>
      <modifiedWord/>
      <trackRevisions>false</trackRevisions>
    </reviewItem>
    <reviewItem>
      <errorID>57b28540-6ef1-446e-9c24-023c62b88f45</errorID>
      <errorWord>)</errorWord>
      <group>L1_Format</group>
      <groupName>格式问题</groupName>
      <ability>L2_HalfPunc</ability>
      <abilityName>全半角检查</abilityName>
      <candidateList>
        <item>）</item>
      </candidateList>
      <explain>文本全半角错误。</explain>
      <paraID>2CC25629</paraID>
      <start>9</start>
      <end>10</end>
      <status>unmodified</status>
      <modifiedWord/>
      <trackRevisions>false</trackRevisions>
    </reviewItem>
    <reviewItem>
      <errorID>f9f8ba64-61f4-48d4-9922-b8761b25b1a6</errorID>
      <errorWord>(</errorWord>
      <group>L1_Format</group>
      <groupName>格式问题</groupName>
      <ability>L2_HalfPunc</ability>
      <abilityName>全半角检查</abilityName>
      <candidateList>
        <item>（</item>
      </candidateList>
      <explain>文本全半角错误。</explain>
      <paraID>150F1B59</paraID>
      <start>4</start>
      <end>5</end>
      <status>unmodified</status>
      <modifiedWord/>
      <trackRevisions>false</trackRevisions>
    </reviewItem>
    <reviewItem>
      <errorID>bf19d0fe-3f78-405a-9913-069c7e473536</errorID>
      <errorWord>)</errorWord>
      <group>L1_Format</group>
      <groupName>格式问题</groupName>
      <ability>L2_HalfPunc</ability>
      <abilityName>全半角检查</abilityName>
      <candidateList>
        <item>）</item>
      </candidateList>
      <explain>文本全半角错误。</explain>
      <paraID>150F1B59</paraID>
      <start>10</start>
      <end>11</end>
      <status>unmodified</status>
      <modifiedWord/>
      <trackRevisions>false</trackRevisions>
    </reviewItem>
    <reviewItem>
      <errorID>82e273b1-e71e-4614-8b9f-78a4d38b8adc</errorID>
      <errorWord>(</errorWord>
      <group>L1_Format</group>
      <groupName>格式问题</groupName>
      <ability>L2_HalfPunc</ability>
      <abilityName>全半角检查</abilityName>
      <candidateList>
        <item>（</item>
      </candidateList>
      <explain>文本全半角错误。</explain>
      <paraID> C0A58CF</paraID>
      <start>57</start>
      <end>58</end>
      <status>unmodified</status>
      <modifiedWord/>
      <trackRevisions>false</trackRevisions>
    </reviewItem>
    <reviewItem>
      <errorID>7dbcb6a4-14db-42bb-b3cf-c2baff97a6dc</errorID>
      <errorWord>)</errorWord>
      <group>L1_Format</group>
      <groupName>格式问题</groupName>
      <ability>L2_HalfPunc</ability>
      <abilityName>全半角检查</abilityName>
      <candidateList>
        <item>）</item>
      </candidateList>
      <explain>文本全半角错误。</explain>
      <paraID> C0A58CF</paraID>
      <start>63</start>
      <end>64</end>
      <status>unmodified</status>
      <modifiedWord/>
      <trackRevisions>false</trackRevisions>
    </reviewItem>
    <reviewItem>
      <errorID>be99acb7-ebb8-4376-b9b4-03208307e0d3</errorID>
      <errorWord>(</errorWord>
      <group>L1_Format</group>
      <groupName>格式问题</groupName>
      <ability>L2_HalfPunc</ability>
      <abilityName>全半角检查</abilityName>
      <candidateList>
        <item>（</item>
      </candidateList>
      <explain>文本全半角错误。</explain>
      <paraID>120B29E1</paraID>
      <start>57</start>
      <end>58</end>
      <status>unmodified</status>
      <modifiedWord/>
      <trackRevisions>false</trackRevisions>
    </reviewItem>
    <reviewItem>
      <errorID>6c00899b-bfd8-4650-b3e3-522259f50c99</errorID>
      <errorWord>)</errorWord>
      <group>L1_Format</group>
      <groupName>格式问题</groupName>
      <ability>L2_HalfPunc</ability>
      <abilityName>全半角检查</abilityName>
      <candidateList>
        <item>）</item>
      </candidateList>
      <explain>文本全半角错误。</explain>
      <paraID>120B29E1</paraID>
      <start>63</start>
      <end>64</end>
      <status>unmodified</status>
      <modifiedWord/>
      <trackRevisions>false</trackRevisions>
    </reviewItem>
    <reviewItem>
      <errorID>22bf4503-7780-47d5-9d3b-b779b3c81a29</errorID>
      <errorWord>&lt;</errorWord>
      <group>L1_Format</group>
      <groupName>格式问题</groupName>
      <ability>L2_HalfPunc</ability>
      <abilityName>全半角检查</abilityName>
      <candidateList>
        <item>〈</item>
      </candidateList>
      <explain>文本全半角错误。</explain>
      <paraID>6C67E08C</paraID>
      <start>105</start>
      <end>106</end>
      <status>unmodified</status>
      <modifiedWord/>
      <trackRevisions>false</trackRevisions>
    </reviewItem>
    <reviewItem>
      <errorID>91529bd6-4f44-4a04-9158-ba8fed6f5648</errorID>
      <errorWord>&gt;</errorWord>
      <group>L1_Format</group>
      <groupName>格式问题</groupName>
      <ability>L2_HalfPunc</ability>
      <abilityName>全半角检查</abilityName>
      <candidateList>
        <item>〉</item>
      </candidateList>
      <explain>文本全半角错误。</explain>
      <paraID>6C67E08C</paraID>
      <start>125</start>
      <end>126</end>
      <status>unmodified</status>
      <modifiedWord/>
      <trackRevisions>false</trackRevisions>
    </reviewItem>
    <reviewItem>
      <errorID>a64adb47-c6d2-4a10-a756-9e5d20f8d4c5</errorID>
      <errorWord>-</errorWord>
      <group>L1_Format</group>
      <groupName>格式问题</groupName>
      <ability>L2_HalfPunc</ability>
      <abilityName>全半角检查</abilityName>
      <candidateList>
        <item>－</item>
      </candidateList>
      <explain>文本全半角错误。</explain>
      <paraID>6C67E08C</paraID>
      <start>199</start>
      <end>200</end>
      <status>unmodified</status>
      <modifiedWord/>
      <trackRevisions>false</trackRevisions>
    </reviewItem>
    <reviewItem>
      <errorID>d00738c0-c41b-481e-be29-e3aec4c4225b</errorID>
      <errorWord>-</errorWord>
      <group>L1_Format</group>
      <groupName>格式问题</groupName>
      <ability>L2_HalfPunc</ability>
      <abilityName>全半角检查</abilityName>
      <candidateList>
        <item>－</item>
      </candidateList>
      <explain>文本全半角错误。</explain>
      <paraID>6C67E08C</paraID>
      <start>220</start>
      <end>221</end>
      <status>unmodified</status>
      <modifiedWord/>
      <trackRevisions>false</trackRevisions>
    </reviewItem>
    <reviewItem>
      <errorID>7f06ba5f-fd8c-436a-be2c-b4111b20c259</errorID>
      <errorWord>(</errorWord>
      <group>L1_Format</group>
      <groupName>格式问题</groupName>
      <ability>L2_HalfPunc</ability>
      <abilityName>全半角检查</abilityName>
      <candidateList>
        <item>（</item>
      </candidateList>
      <explain>文本全半角错误。</explain>
      <paraID>55EDE05C</paraID>
      <start>3</start>
      <end>4</end>
      <status>unmodified</status>
      <modifiedWord/>
      <trackRevisions>false</trackRevisions>
    </reviewItem>
    <reviewItem>
      <errorID>09342d32-b1e1-4fde-bf2c-a9737ee86b16</errorID>
      <errorWord>)</errorWord>
      <group>L1_Format</group>
      <groupName>格式问题</groupName>
      <ability>L2_HalfPunc</ability>
      <abilityName>全半角检查</abilityName>
      <candidateList>
        <item>）</item>
      </candidateList>
      <explain>文本全半角错误。</explain>
      <paraID>55EDE05C</paraID>
      <start>8</start>
      <end>9</end>
      <status>unmodified</status>
      <modifiedWord/>
      <trackRevisions>false</trackRevisions>
    </reviewItem>
    <reviewItem>
      <errorID>36a88475-7d7b-452a-8978-b1bd93e6ae00</errorID>
      <errorWord>(</errorWord>
      <group>L1_Format</group>
      <groupName>格式问题</groupName>
      <ability>L2_HalfPunc</ability>
      <abilityName>全半角检查</abilityName>
      <candidateList>
        <item>（</item>
      </candidateList>
      <explain>文本全半角错误。</explain>
      <paraID>5B102C8C</paraID>
      <start>4</start>
      <end>5</end>
      <status>unmodified</status>
      <modifiedWord/>
      <trackRevisions>false</trackRevisions>
    </reviewItem>
    <reviewItem>
      <errorID>ba250785-f92f-4284-897d-5524c93db7f8</errorID>
      <errorWord>)</errorWord>
      <group>L1_Format</group>
      <groupName>格式问题</groupName>
      <ability>L2_HalfPunc</ability>
      <abilityName>全半角检查</abilityName>
      <candidateList>
        <item>）</item>
      </candidateList>
      <explain>文本全半角错误。</explain>
      <paraID>5B102C8C</paraID>
      <start>9</start>
      <end>10</end>
      <status>unmodified</status>
      <modifiedWord/>
      <trackRevisions>false</trackRevisions>
    </reviewItem>
    <reviewItem>
      <errorID>b23796de-6f1f-4d0e-9a6b-7c90b01ed2e7</errorID>
      <errorWord>(</errorWord>
      <group>L1_Format</group>
      <groupName>格式问题</groupName>
      <ability>L2_HalfPunc</ability>
      <abilityName>全半角检查</abilityName>
      <candidateList>
        <item>（</item>
      </candidateList>
      <explain>文本全半角错误。</explain>
      <paraID>59EF5B8D</paraID>
      <start>4</start>
      <end>5</end>
      <status>unmodified</status>
      <modifiedWord/>
      <trackRevisions>false</trackRevisions>
    </reviewItem>
    <reviewItem>
      <errorID>2bc8092d-67df-4c05-94cd-e670d3523789</errorID>
      <errorWord>)</errorWord>
      <group>L1_Format</group>
      <groupName>格式问题</groupName>
      <ability>L2_HalfPunc</ability>
      <abilityName>全半角检查</abilityName>
      <candidateList>
        <item>）</item>
      </candidateList>
      <explain>文本全半角错误。</explain>
      <paraID>59EF5B8D</paraID>
      <start>10</start>
      <end>11</end>
      <status>unmodified</status>
      <modifiedWord/>
      <trackRevisions>false</trackRevisions>
    </reviewItem>
    <reviewItem>
      <errorID>bb81e5eb-9dc4-4954-9f7f-05a985456182</errorID>
      <errorWord>(</errorWord>
      <group>L1_Format</group>
      <groupName>格式问题</groupName>
      <ability>L2_HalfPunc</ability>
      <abilityName>全半角检查</abilityName>
      <candidateList>
        <item>（</item>
      </candidateList>
      <explain>文本全半角错误。</explain>
      <paraID>3D8A0B95</paraID>
      <start>3</start>
      <end>4</end>
      <status>unmodified</status>
      <modifiedWord/>
      <trackRevisions>false</trackRevisions>
    </reviewItem>
    <reviewItem>
      <errorID>790d6e84-abb4-49e5-a37f-adfbd1d44b0a</errorID>
      <errorWord>)</errorWord>
      <group>L1_Format</group>
      <groupName>格式问题</groupName>
      <ability>L2_HalfPunc</ability>
      <abilityName>全半角检查</abilityName>
      <candidateList>
        <item>）</item>
      </candidateList>
      <explain>文本全半角错误。</explain>
      <paraID>3D8A0B95</paraID>
      <start>8</start>
      <end>9</end>
      <status>unmodified</status>
      <modifiedWord/>
      <trackRevisions>false</trackRevisions>
    </reviewItem>
    <reviewItem>
      <errorID>da8ebe7d-ff21-49a0-ad68-d14384340629</errorID>
      <errorWord>(</errorWord>
      <group>L1_Format</group>
      <groupName>格式问题</groupName>
      <ability>L2_HalfPunc</ability>
      <abilityName>全半角检查</abilityName>
      <candidateList>
        <item>（</item>
      </candidateList>
      <explain>文本全半角错误。</explain>
      <paraID>5B0FC518</paraID>
      <start>4</start>
      <end>5</end>
      <status>unmodified</status>
      <modifiedWord/>
      <trackRevisions>false</trackRevisions>
    </reviewItem>
    <reviewItem>
      <errorID>ac49e6f5-b279-4725-b915-8cd35fe1c0ce</errorID>
      <errorWord>)</errorWord>
      <group>L1_Format</group>
      <groupName>格式问题</groupName>
      <ability>L2_HalfPunc</ability>
      <abilityName>全半角检查</abilityName>
      <candidateList>
        <item>）</item>
      </candidateList>
      <explain>文本全半角错误。</explain>
      <paraID>5B0FC518</paraID>
      <start>9</start>
      <end>10</end>
      <status>unmodified</status>
      <modifiedWord/>
      <trackRevisions>false</trackRevisions>
    </reviewItem>
    <reviewItem>
      <errorID>f9526552-6451-47fc-b2e6-9212d23f2edf</errorID>
      <errorWord>(</errorWord>
      <group>L1_Format</group>
      <groupName>格式问题</groupName>
      <ability>L2_HalfPunc</ability>
      <abilityName>全半角检查</abilityName>
      <candidateList>
        <item>（</item>
      </candidateList>
      <explain>文本全半角错误。</explain>
      <paraID>358B98E4</paraID>
      <start>4</start>
      <end>5</end>
      <status>unmodified</status>
      <modifiedWord/>
      <trackRevisions>false</trackRevisions>
    </reviewItem>
    <reviewItem>
      <errorID>e66e86c9-3865-4772-955a-a81bab15708c</errorID>
      <errorWord>)</errorWord>
      <group>L1_Format</group>
      <groupName>格式问题</groupName>
      <ability>L2_HalfPunc</ability>
      <abilityName>全半角检查</abilityName>
      <candidateList>
        <item>）</item>
      </candidateList>
      <explain>文本全半角错误。</explain>
      <paraID>358B98E4</paraID>
      <start>10</start>
      <end>11</end>
      <status>unmodified</status>
      <modifiedWord/>
      <trackRevisions>false</trackRevisions>
    </reviewItem>
    <reviewItem>
      <errorID>39205bb3-a6ca-4a93-afa2-5a11b741989e</errorID>
      <errorWord>（</errorWord>
      <group>L1_Format</group>
      <groupName>格式问题</groupName>
      <ability>L2_HalfPunc</ability>
      <abilityName>全半角检查</abilityName>
      <candidateList>
        <item>(</item>
      </candidateList>
      <explain>文本全半角错误。</explain>
      <paraID>4AC2125F</paraID>
      <start>0</start>
      <end>1</end>
      <status>unmodified</status>
      <modifiedWord/>
      <trackRevisions>false</trackRevisions>
    </reviewItem>
    <reviewItem>
      <errorID>2e6c623f-81df-4d72-9d84-6e8e61d0ea42</errorID>
      <errorWord>）</errorWord>
      <group>L1_Format</group>
      <groupName>格式问题</groupName>
      <ability>L2_HalfPunc</ability>
      <abilityName>全半角检查</abilityName>
      <candidateList>
        <item>)</item>
      </candidateList>
      <explain>文本全半角错误。</explain>
      <paraID>4AC2125F</paraID>
      <start>4</start>
      <end>5</end>
      <status>unmodified</status>
      <modifiedWord/>
      <trackRevisions>false</trackRevisions>
    </reviewItem>
    <reviewItem>
      <errorID>e69fe9e7-085c-465e-8f30-2be83cdb495b</errorID>
      <errorWord>，</errorWord>
      <group>L1_Format</group>
      <groupName>格式问题</groupName>
      <ability>L2_HalfPunc</ability>
      <abilityName>全半角检查</abilityName>
      <candidateList>
        <item>, </item>
      </candidateList>
      <explain>文本全半角错误。</explain>
      <paraID>5A25CC2D</paraID>
      <start>11</start>
      <end>12</end>
      <status>unmodified</status>
      <modifiedWord/>
      <trackRevisions>false</trackRevisions>
    </reviewItem>
    <reviewItem>
      <errorID>5fab5984-546d-4fbd-8bac-93eecbe820e0</errorID>
      <errorWord>，</errorWord>
      <group>L1_Format</group>
      <groupName>格式问题</groupName>
      <ability>L2_HalfPunc</ability>
      <abilityName>全半角检查</abilityName>
      <candidateList>
        <item>, </item>
      </candidateList>
      <explain>文本全半角错误。</explain>
      <paraID>  3A3BC6</paraID>
      <start>11</start>
      <end>12</end>
      <status>unmodified</status>
      <modifiedWord/>
      <trackRevisions>false</trackRevisions>
    </reviewItem>
    <reviewItem>
      <errorID>638688e1-251f-4560-af8b-7d3517fcf1a3</errorID>
      <errorWord>，</errorWord>
      <group>L1_Format</group>
      <groupName>格式问题</groupName>
      <ability>L2_HalfPunc</ability>
      <abilityName>全半角检查</abilityName>
      <candidateList>
        <item>, </item>
      </candidateList>
      <explain>文本全半角错误。</explain>
      <paraID>1E1B3107</paraID>
      <start>11</start>
      <end>12</end>
      <status>unmodified</status>
      <modifiedWord/>
      <trackRevisions>false</trackRevisions>
    </reviewItem>
    <reviewItem>
      <errorID>4103f492-903b-4ff4-bd7c-c09d226e2764</errorID>
      <errorWord>海拔高度</errorWord>
      <group>L1_Word</group>
      <groupName>字词问题</groupName>
      <ability>L2_Typo</ability>
      <abilityName>字词错误</abilityName>
      <candidateList>
        <item>海拔</item>
      </candidateList>
      <explain>〈名〉从平均海平面起算的高度。</explain>
      <paraID>2255C959</paraID>
      <start>0</start>
      <end>4</end>
      <status>unmodified</status>
      <modifiedWord/>
      <trackRevisions>false</trackRevisions>
    </reviewItem>
    <reviewItem>
      <errorID>55869306-658b-495a-8ee6-c65d07edb25a</errorID>
      <errorWord>(</errorWord>
      <group>L1_Format</group>
      <groupName>格式问题</groupName>
      <ability>L2_HalfPunc</ability>
      <abilityName>全半角检查</abilityName>
      <candidateList>
        <item>（</item>
      </candidateList>
      <explain>文本全半角错误。</explain>
      <paraID>3903DC56</paraID>
      <start>6</start>
      <end>7</end>
      <status>unmodified</status>
      <modifiedWord/>
      <trackRevisions>false</trackRevisions>
    </reviewItem>
    <reviewItem>
      <errorID>04911c18-508e-412c-b3ac-64df5e8723aa</errorID>
      <errorWord>)</errorWord>
      <group>L1_Format</group>
      <groupName>格式问题</groupName>
      <ability>L2_HalfPunc</ability>
      <abilityName>全半角检查</abilityName>
      <candidateList>
        <item>）</item>
      </candidateList>
      <explain>文本全半角错误。</explain>
      <paraID>3903DC56</paraID>
      <start>10</start>
      <end>11</end>
      <status>unmodified</status>
      <modifiedWord/>
      <trackRevisions>false</trackRevisions>
    </reviewItem>
    <reviewItem>
      <errorID>8b2ec168-f0c7-4d88-9a4d-06368796cb7f</errorID>
      <errorWord>(</errorWord>
      <group>L1_Format</group>
      <groupName>格式问题</groupName>
      <ability>L2_HalfPunc</ability>
      <abilityName>全半角检查</abilityName>
      <candidateList>
        <item>（</item>
      </candidateList>
      <explain>文本全半角错误。</explain>
      <paraID>4F89173B</paraID>
      <start>7</start>
      <end>8</end>
      <status>unmodified</status>
      <modifiedWord/>
      <trackRevisions>false</trackRevisions>
    </reviewItem>
    <reviewItem>
      <errorID>216482c8-720f-4601-8aa5-ed2aca467d7e</errorID>
      <errorWord>)</errorWord>
      <group>L1_Format</group>
      <groupName>格式问题</groupName>
      <ability>L2_HalfPunc</ability>
      <abilityName>全半角检查</abilityName>
      <candidateList>
        <item>）</item>
      </candidateList>
      <explain>文本全半角错误。</explain>
      <paraID>4F89173B</paraID>
      <start>12</start>
      <end>13</end>
      <status>unmodified</status>
      <modifiedWord/>
      <trackRevisions>false</trackRevisions>
    </reviewItem>
    <reviewItem>
      <errorID>69489144-c96b-4dfa-8ad2-1711e1996c3a</errorID>
      <errorWord>(</errorWord>
      <group>L1_Format</group>
      <groupName>格式问题</groupName>
      <ability>L2_HalfPunc</ability>
      <abilityName>全半角检查</abilityName>
      <candidateList>
        <item>（</item>
      </candidateList>
      <explain>文本全半角错误。</explain>
      <paraID>3063CC0D</paraID>
      <start>2</start>
      <end>3</end>
      <status>unmodified</status>
      <modifiedWord/>
      <trackRevisions>false</trackRevisions>
    </reviewItem>
    <reviewItem>
      <errorID>f6d1ef51-3340-412d-893d-844dae5ea90c</errorID>
      <errorWord>)</errorWord>
      <group>L1_Format</group>
      <groupName>格式问题</groupName>
      <ability>L2_HalfPunc</ability>
      <abilityName>全半角检查</abilityName>
      <candidateList>
        <item>）</item>
      </candidateList>
      <explain>文本全半角错误。</explain>
      <paraID>3063CC0D</paraID>
      <start>4</start>
      <end>5</end>
      <status>unmodified</status>
      <modifiedWord/>
      <trackRevisions>false</trackRevisions>
    </reviewItem>
    <reviewItem>
      <errorID>6f686f16-534d-4162-a91d-70079aedefb7</errorID>
      <errorWord>(</errorWord>
      <group>L1_Format</group>
      <groupName>格式问题</groupName>
      <ability>L2_HalfPunc</ability>
      <abilityName>全半角检查</abilityName>
      <candidateList>
        <item>（</item>
      </candidateList>
      <explain>文本全半角错误。</explain>
      <paraID>3570212A</paraID>
      <start>2</start>
      <end>3</end>
      <status>unmodified</status>
      <modifiedWord/>
      <trackRevisions>false</trackRevisions>
    </reviewItem>
    <reviewItem>
      <errorID>01ef6653-cc7f-4ec4-8e8f-f295dba11631</errorID>
      <errorWord>)</errorWord>
      <group>L1_Format</group>
      <groupName>格式问题</groupName>
      <ability>L2_HalfPunc</ability>
      <abilityName>全半角检查</abilityName>
      <candidateList>
        <item>）</item>
      </candidateList>
      <explain>文本全半角错误。</explain>
      <paraID>3570212A</paraID>
      <start>4</start>
      <end>5</end>
      <status>unmodified</status>
      <modifiedWord/>
      <trackRevisions>false</trackRevisions>
    </reviewItem>
    <reviewItem>
      <errorID>a0ca2046-5710-449b-b40e-5012e74a6a08</errorID>
      <errorWord>(</errorWord>
      <group>L1_Format</group>
      <groupName>格式问题</groupName>
      <ability>L2_HalfPunc</ability>
      <abilityName>全半角检查</abilityName>
      <candidateList>
        <item>（</item>
      </candidateList>
      <explain>文本全半角错误。</explain>
      <paraID>5B23D71A</paraID>
      <start>4</start>
      <end>5</end>
      <status>unmodified</status>
      <modifiedWord/>
      <trackRevisions>false</trackRevisions>
    </reviewItem>
    <reviewItem>
      <errorID>2e24fb8a-838f-4941-9e56-36eb8988a139</errorID>
      <errorWord>)</errorWord>
      <group>L1_Format</group>
      <groupName>格式问题</groupName>
      <ability>L2_HalfPunc</ability>
      <abilityName>全半角检查</abilityName>
      <candidateList>
        <item>）</item>
      </candidateList>
      <explain>文本全半角错误。</explain>
      <paraID>5B23D71A</paraID>
      <start>6</start>
      <end>7</end>
      <status>unmodified</status>
      <modifiedWord/>
      <trackRevisions>false</trackRevisions>
    </reviewItem>
    <reviewItem>
      <errorID>b3baa492-d42e-4c4c-b01a-5f742b210ea0</errorID>
      <errorWord>，</errorWord>
      <group>L1_Format</group>
      <groupName>格式问题</groupName>
      <ability>L2_HalfPunc</ability>
      <abilityName>全半角检查</abilityName>
      <candidateList>
        <item>, </item>
      </candidateList>
      <explain>文本全半角错误。</explain>
      <paraID>14111900</paraID>
      <start>11</start>
      <end>12</end>
      <status>unmodified</status>
      <modifiedWord/>
      <trackRevisions>false</trackRevisions>
    </reviewItem>
    <reviewItem>
      <errorID>cfb57259-8b81-4642-8f3d-6603b8ec8dd2</errorID>
      <errorWord>(</errorWord>
      <group>L1_Format</group>
      <groupName>格式问题</groupName>
      <ability>L2_HalfPunc</ability>
      <abilityName>全半角检查</abilityName>
      <candidateList>
        <item>（</item>
      </candidateList>
      <explain>文本全半角错误。</explain>
      <paraID>781BB9AD</paraID>
      <start>4</start>
      <end>5</end>
      <status>unmodified</status>
      <modifiedWord/>
      <trackRevisions>false</trackRevisions>
    </reviewItem>
    <reviewItem>
      <errorID>8dd40ce4-ed41-4b56-a693-9a505d3570d5</errorID>
      <errorWord>)</errorWord>
      <group>L1_Format</group>
      <groupName>格式问题</groupName>
      <ability>L2_HalfPunc</ability>
      <abilityName>全半角检查</abilityName>
      <candidateList>
        <item>）</item>
      </candidateList>
      <explain>文本全半角错误。</explain>
      <paraID>781BB9AD</paraID>
      <start>9</start>
      <end>10</end>
      <status>unmodified</status>
      <modifiedWord/>
      <trackRevisions>false</trackRevisions>
    </reviewItem>
    <reviewItem>
      <errorID>7dbcd853-1272-4ac5-8b80-e24a4ab1930f</errorID>
      <errorWord>(</errorWord>
      <group>L1_Format</group>
      <groupName>格式问题</groupName>
      <ability>L2_HalfPunc</ability>
      <abilityName>全半角检查</abilityName>
      <candidateList>
        <item>（</item>
      </candidateList>
      <explain>文本全半角错误。</explain>
      <paraID>5F23DE12</paraID>
      <start>4</start>
      <end>5</end>
      <status>unmodified</status>
      <modifiedWord/>
      <trackRevisions>false</trackRevisions>
    </reviewItem>
    <reviewItem>
      <errorID>75cc7141-064c-474a-aefb-f04b0f4e1ca1</errorID>
      <errorWord>)</errorWord>
      <group>L1_Format</group>
      <groupName>格式问题</groupName>
      <ability>L2_HalfPunc</ability>
      <abilityName>全半角检查</abilityName>
      <candidateList>
        <item>）</item>
      </candidateList>
      <explain>文本全半角错误。</explain>
      <paraID>5F23DE12</paraID>
      <start>10</start>
      <end>11</end>
      <status>unmodified</status>
      <modifiedWord/>
      <trackRevisions>false</trackRevisions>
    </reviewItem>
    <reviewItem>
      <errorID>aaa5f79b-5b7f-4b1e-809e-fb6c035fbe32</errorID>
      <errorWord>(</errorWord>
      <group>L1_Format</group>
      <groupName>格式问题</groupName>
      <ability>L2_HalfPunc</ability>
      <abilityName>全半角检查</abilityName>
      <candidateList>
        <item>（</item>
      </candidateList>
      <explain>文本全半角错误。</explain>
      <paraID> 5AFDBF1</paraID>
      <start>4</start>
      <end>5</end>
      <status>unmodified</status>
      <modifiedWord/>
      <trackRevisions>false</trackRevisions>
    </reviewItem>
    <reviewItem>
      <errorID>a7bcd211-4b3a-47e9-9063-81c4581c4eef</errorID>
      <errorWord>)</errorWord>
      <group>L1_Format</group>
      <groupName>格式问题</groupName>
      <ability>L2_HalfPunc</ability>
      <abilityName>全半角检查</abilityName>
      <candidateList>
        <item>）</item>
      </candidateList>
      <explain>文本全半角错误。</explain>
      <paraID> 5AFDBF1</paraID>
      <start>9</start>
      <end>10</end>
      <status>unmodified</status>
      <modifiedWord/>
      <trackRevisions>false</trackRevisions>
    </reviewItem>
    <reviewItem>
      <errorID>6bb20297-5498-4113-a7a2-4ae114cb0061</errorID>
      <errorWord>(</errorWord>
      <group>L1_Format</group>
      <groupName>格式问题</groupName>
      <ability>L2_HalfPunc</ability>
      <abilityName>全半角检查</abilityName>
      <candidateList>
        <item>（</item>
      </candidateList>
      <explain>文本全半角错误。</explain>
      <paraID>44CB9B11</paraID>
      <start>4</start>
      <end>5</end>
      <status>unmodified</status>
      <modifiedWord/>
      <trackRevisions>false</trackRevisions>
    </reviewItem>
    <reviewItem>
      <errorID>f42efb79-3978-4a50-a3f1-e3f2592631c0</errorID>
      <errorWord>)</errorWord>
      <group>L1_Format</group>
      <groupName>格式问题</groupName>
      <ability>L2_HalfPunc</ability>
      <abilityName>全半角检查</abilityName>
      <candidateList>
        <item>）</item>
      </candidateList>
      <explain>文本全半角错误。</explain>
      <paraID>44CB9B11</paraID>
      <start>10</start>
      <end>11</end>
      <status>unmodified</status>
      <modifiedWord/>
      <trackRevisions>false</trackRevisions>
    </reviewItem>
    <reviewItem>
      <errorID>b3190178-63d6-47d9-a5a0-d1d33f679318</errorID>
      <errorWord>(</errorWord>
      <group>L1_Format</group>
      <groupName>格式问题</groupName>
      <ability>L2_HalfPunc</ability>
      <abilityName>全半角检查</abilityName>
      <candidateList>
        <item>（</item>
      </candidateList>
      <explain>文本全半角错误。</explain>
      <paraID>675887F2</paraID>
      <start>11</start>
      <end>12</end>
      <status>unmodified</status>
      <modifiedWord/>
      <trackRevisions>false</trackRevisions>
    </reviewItem>
    <reviewItem>
      <errorID>5c950eba-6f3a-4a3f-a856-aa326bdf95fe</errorID>
      <errorWord>)</errorWord>
      <group>L1_Format</group>
      <groupName>格式问题</groupName>
      <ability>L2_HalfPunc</ability>
      <abilityName>全半角检查</abilityName>
      <candidateList>
        <item>）</item>
      </candidateList>
      <explain>文本全半角错误。</explain>
      <paraID>675887F2</paraID>
      <start>17</start>
      <end>18</end>
      <status>unmodified</status>
      <modifiedWord/>
      <trackRevisions>false</trackRevisions>
    </reviewItem>
    <reviewItem>
      <errorID>03e5ba3a-9e53-43d6-9582-fbd62fa4d633</errorID>
      <errorWord>(</errorWord>
      <group>L1_Format</group>
      <groupName>格式问题</groupName>
      <ability>L2_HalfPunc</ability>
      <abilityName>全半角检查</abilityName>
      <candidateList>
        <item>（</item>
      </candidateList>
      <explain>文本全半角错误。</explain>
      <paraID>60916AF8</paraID>
      <start>10</start>
      <end>11</end>
      <status>unmodified</status>
      <modifiedWord/>
      <trackRevisions>false</trackRevisions>
    </reviewItem>
    <reviewItem>
      <errorID>82fc486c-abfe-4c81-aa6d-58be7ec69574</errorID>
      <errorWord>)</errorWord>
      <group>L1_Format</group>
      <groupName>格式问题</groupName>
      <ability>L2_HalfPunc</ability>
      <abilityName>全半角检查</abilityName>
      <candidateList>
        <item>）</item>
      </candidateList>
      <explain>文本全半角错误。</explain>
      <paraID>60916AF8</paraID>
      <start>16</start>
      <end>17</end>
      <status>unmodified</status>
      <modifiedWord/>
      <trackRevisions>false</trackRevisions>
    </reviewItem>
    <reviewItem>
      <errorID>407c0224-ceca-4b2e-b05f-8a6e4de95731</errorID>
      <errorWord>(</errorWord>
      <group>L1_Format</group>
      <groupName>格式问题</groupName>
      <ability>L2_HalfPunc</ability>
      <abilityName>全半角检查</abilityName>
      <candidateList>
        <item>（</item>
      </candidateList>
      <explain>文本全半角错误。</explain>
      <paraID>1562FA97</paraID>
      <start>6</start>
      <end>7</end>
      <status>unmodified</status>
      <modifiedWord/>
      <trackRevisions>false</trackRevisions>
    </reviewItem>
    <reviewItem>
      <errorID>2d1a30ef-93c6-4222-b6e2-eb4f2c1895fb</errorID>
      <errorWord>)</errorWord>
      <group>L1_Format</group>
      <groupName>格式问题</groupName>
      <ability>L2_HalfPunc</ability>
      <abilityName>全半角检查</abilityName>
      <candidateList>
        <item>）</item>
      </candidateList>
      <explain>文本全半角错误。</explain>
      <paraID>1562FA97</paraID>
      <start>9</start>
      <end>10</end>
      <status>unmodified</status>
      <modifiedWord/>
      <trackRevisions>false</trackRevisions>
    </reviewItem>
    <reviewItem>
      <errorID>49f2904c-a3bc-4593-beda-acdb77666e2e</errorID>
      <errorWord>(</errorWord>
      <group>L1_Format</group>
      <groupName>格式问题</groupName>
      <ability>L2_HalfPunc</ability>
      <abilityName>全半角检查</abilityName>
      <candidateList>
        <item>（</item>
      </candidateList>
      <explain>文本全半角错误。</explain>
      <paraID>5F1BE4AA</paraID>
      <start>7</start>
      <end>8</end>
      <status>unmodified</status>
      <modifiedWord/>
      <trackRevisions>false</trackRevisions>
    </reviewItem>
    <reviewItem>
      <errorID>36d0c843-c9f2-462f-a88b-1761d3504745</errorID>
      <errorWord>)</errorWord>
      <group>L1_Format</group>
      <groupName>格式问题</groupName>
      <ability>L2_HalfPunc</ability>
      <abilityName>全半角检查</abilityName>
      <candidateList>
        <item>）</item>
      </candidateList>
      <explain>文本全半角错误。</explain>
      <paraID>5F1BE4AA</paraID>
      <start>12</start>
      <end>13</end>
      <status>unmodified</status>
      <modifiedWord/>
      <trackRevisions>false</trackRevisions>
    </reviewItem>
    <reviewItem>
      <errorID>5602edb0-a42c-4d46-b7ae-06afcb18bf5e</errorID>
      <errorWord>(</errorWord>
      <group>L1_Format</group>
      <groupName>格式问题</groupName>
      <ability>L2_HalfPunc</ability>
      <abilityName>全半角检查</abilityName>
      <candidateList>
        <item>（</item>
      </candidateList>
      <explain>文本全半角错误。</explain>
      <paraID>5134154E</paraID>
      <start>7</start>
      <end>8</end>
      <status>unmodified</status>
      <modifiedWord/>
      <trackRevisions>false</trackRevisions>
    </reviewItem>
    <reviewItem>
      <errorID>f34d0047-92da-4c10-aaf4-ffabd42c8e04</errorID>
      <errorWord>)</errorWord>
      <group>L1_Format</group>
      <groupName>格式问题</groupName>
      <ability>L2_HalfPunc</ability>
      <abilityName>全半角检查</abilityName>
      <candidateList>
        <item>）</item>
      </candidateList>
      <explain>文本全半角错误。</explain>
      <paraID>5134154E</paraID>
      <start>13</start>
      <end>14</end>
      <status>unmodified</status>
      <modifiedWord/>
      <trackRevisions>false</trackRevisions>
    </reviewItem>
    <reviewItem>
      <errorID>7efa00eb-e490-4d78-821a-1646da750734</errorID>
      <errorWord>(</errorWord>
      <group>L1_Format</group>
      <groupName>格式问题</groupName>
      <ability>L2_HalfPunc</ability>
      <abilityName>全半角检查</abilityName>
      <candidateList>
        <item>（</item>
      </candidateList>
      <explain>文本全半角错误。</explain>
      <paraID>1A98383D</paraID>
      <start>6</start>
      <end>7</end>
      <status>unmodified</status>
      <modifiedWord/>
      <trackRevisions>false</trackRevisions>
    </reviewItem>
    <reviewItem>
      <errorID>6db6fa60-c635-4d47-a589-a282001072af</errorID>
      <errorWord>)</errorWord>
      <group>L1_Format</group>
      <groupName>格式问题</groupName>
      <ability>L2_HalfPunc</ability>
      <abilityName>全半角检查</abilityName>
      <candidateList>
        <item>）</item>
      </candidateList>
      <explain>文本全半角错误。</explain>
      <paraID>1A98383D</paraID>
      <start>8</start>
      <end>9</end>
      <status>unmodified</status>
      <modifiedWord/>
      <trackRevisions>false</trackRevisions>
    </reviewItem>
    <reviewItem>
      <errorID>9fd20b7e-235f-49cd-b4fb-634a517a2e33</errorID>
      <errorWord>(</errorWord>
      <group>L1_Format</group>
      <groupName>格式问题</groupName>
      <ability>L2_HalfPunc</ability>
      <abilityName>全半角检查</abilityName>
      <candidateList>
        <item>（</item>
      </candidateList>
      <explain>文本全半角错误。</explain>
      <paraID>37171786</paraID>
      <start>5</start>
      <end>6</end>
      <status>unmodified</status>
      <modifiedWord/>
      <trackRevisions>false</trackRevisions>
    </reviewItem>
    <reviewItem>
      <errorID>ecb1b23c-27ac-4d7f-b00f-1dfb1115a9c8</errorID>
      <errorWord>)</errorWord>
      <group>L1_Format</group>
      <groupName>格式问题</groupName>
      <ability>L2_HalfPunc</ability>
      <abilityName>全半角检查</abilityName>
      <candidateList>
        <item>）</item>
      </candidateList>
      <explain>文本全半角错误。</explain>
      <paraID>37171786</paraID>
      <start>7</start>
      <end>8</end>
      <status>unmodified</status>
      <modifiedWord/>
      <trackRevisions>false</trackRevisions>
    </reviewItem>
    <reviewItem>
      <errorID>797ae2fc-50eb-43cd-b001-d9eb830101e9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2207385D</paraID>
      <start>158</start>
      <end>159</end>
      <status>unmodified</status>
      <modifiedWord/>
      <trackRevisions>false</trackRevisions>
    </reviewItem>
    <reviewItem>
      <errorID>ddda4d35-3a46-4f88-bc85-e24571e4a081</errorID>
      <errorWord>，</errorWord>
      <group>L1_Word</group>
      <groupName>字词问题</groupName>
      <ability>L2_Typo</ability>
      <abilityName>字词错误</abilityName>
      <candidateList>
        <item>，以</item>
      </candidateList>
      <explain/>
      <paraID>13F3DC2D</paraID>
      <start>114</start>
      <end>115</end>
      <status>unmodified</status>
      <modifiedWord/>
      <trackRevisions>false</trackRevisions>
    </reviewItem>
    <reviewItem>
      <errorID>7ff95196-4a8b-4e1b-a7e6-513755857899</errorID>
      <errorWord>：</errorWord>
      <group>L1_Format</group>
      <groupName>格式问题</groupName>
      <ability>L2_HalfPunc</ability>
      <abilityName>全半角检查</abilityName>
      <candidateList>
        <item>:</item>
      </candidateList>
      <explain>文本全半角错误。</explain>
      <paraID>6428456F</paraID>
      <start>98</start>
      <end>99</end>
      <status>unmodified</status>
      <modifiedWord/>
      <trackRevisions>false</trackRevisions>
    </reviewItem>
    <reviewItem>
      <errorID>3a7a878c-076d-4922-a5a0-d652f1cb7b67</errorID>
      <errorWord>(</errorWord>
      <group>L1_Format</group>
      <groupName>格式问题</groupName>
      <ability>L2_HalfPunc</ability>
      <abilityName>全半角检查</abilityName>
      <candidateList>
        <item>（</item>
      </candidateList>
      <explain>文本全半角错误。</explain>
      <paraID>6E320FB0</paraID>
      <start>3</start>
      <end>4</end>
      <status>unmodified</status>
      <modifiedWord/>
      <trackRevisions>false</trackRevisions>
    </reviewItem>
    <reviewItem>
      <errorID>e301b475-ef0e-4b86-9e29-c7f010ab216f</errorID>
      <errorWord>)</errorWord>
      <group>L1_Format</group>
      <groupName>格式问题</groupName>
      <ability>L2_HalfPunc</ability>
      <abilityName>全半角检查</abilityName>
      <candidateList>
        <item>）</item>
      </candidateList>
      <explain>文本全半角错误。</explain>
      <paraID>6E320FB0</paraID>
      <start>8</start>
      <end>9</end>
      <status>unmodified</status>
      <modifiedWord/>
      <trackRevisions>false</trackRevisions>
    </reviewItem>
    <reviewItem>
      <errorID>34bb2cfc-d648-4879-a778-0480bdc9e321</errorID>
      <errorWord>(</errorWord>
      <group>L1_Format</group>
      <groupName>格式问题</groupName>
      <ability>L2_HalfPunc</ability>
      <abilityName>全半角检查</abilityName>
      <candidateList>
        <item>（</item>
      </candidateList>
      <explain>文本全半角错误。</explain>
      <paraID>43CDCE92</paraID>
      <start>9</start>
      <end>10</end>
      <status>unmodified</status>
      <modifiedWord/>
      <trackRevisions>false</trackRevisions>
    </reviewItem>
    <reviewItem>
      <errorID>fe629dcd-8ff1-49ab-988d-0f0e2a580c84</errorID>
      <errorWord>)</errorWord>
      <group>L1_Format</group>
      <groupName>格式问题</groupName>
      <ability>L2_HalfPunc</ability>
      <abilityName>全半角检查</abilityName>
      <candidateList>
        <item>）</item>
      </candidateList>
      <explain>文本全半角错误。</explain>
      <paraID>43CDCE92</paraID>
      <start>14</start>
      <end>15</end>
      <status>unmodified</status>
      <modifiedWord/>
      <trackRevisions>false</trackRevisions>
    </reviewItem>
    <reviewItem>
      <errorID>6e0772b5-3068-4d6d-b8d1-a036da46a0e2</errorID>
      <errorWord>(</errorWord>
      <group>L1_Format</group>
      <groupName>格式问题</groupName>
      <ability>L2_HalfPunc</ability>
      <abilityName>全半角检查</abilityName>
      <candidateList>
        <item>（</item>
      </candidateList>
      <explain>文本全半角错误。</explain>
      <paraID>303B73A8</paraID>
      <start>6</start>
      <end>7</end>
      <status>unmodified</status>
      <modifiedWord/>
      <trackRevisions>false</trackRevisions>
    </reviewItem>
    <reviewItem>
      <errorID>26c7b8b6-caf7-4b7b-ac29-c0151cbe45f8</errorID>
      <errorWord>)</errorWord>
      <group>L1_Format</group>
      <groupName>格式问题</groupName>
      <ability>L2_HalfPunc</ability>
      <abilityName>全半角检查</abilityName>
      <candidateList>
        <item>）</item>
      </candidateList>
      <explain>文本全半角错误。</explain>
      <paraID>303B73A8</paraID>
      <start>11</start>
      <end>12</end>
      <status>unmodified</status>
      <modifiedWord/>
      <trackRevisions>false</trackRevisions>
    </reviewItem>
    <reviewItem>
      <errorID>4d59b1df-33c7-464c-b3cf-b73086f03cb7</errorID>
      <errorWord>（</errorWord>
      <group>L1_Format</group>
      <groupName>格式问题</groupName>
      <ability>L2_HalfPunc</ability>
      <abilityName>全半角检查</abilityName>
      <candidateList>
        <item>(</item>
      </candidateList>
      <explain>文本全半角错误。</explain>
      <paraID>1E1C862E</paraID>
      <start>2</start>
      <end>3</end>
      <status>unmodified</status>
      <modifiedWord/>
      <trackRevisions>false</trackRevisions>
    </reviewItem>
    <reviewItem>
      <errorID>3568b242-547c-4410-911e-01e959ab9e79</errorID>
      <errorWord>）</errorWord>
      <group>L1_Format</group>
      <groupName>格式问题</groupName>
      <ability>L2_HalfPunc</ability>
      <abilityName>全半角检查</abilityName>
      <candidateList>
        <item>)</item>
      </candidateList>
      <explain>文本全半角错误。</explain>
      <paraID>1E1C862E</paraID>
      <start>7</start>
      <end>8</end>
      <status>unmodified</status>
      <modifiedWord/>
      <trackRevisions>false</trackRevisions>
    </reviewItem>
    <reviewItem>
      <errorID>cb32e517-99e4-4d4d-8aa3-e2e9d2641805</errorID>
      <errorWord>（</errorWord>
      <group>L1_Format</group>
      <groupName>格式问题</groupName>
      <ability>L2_HalfPunc</ability>
      <abilityName>全半角检查</abilityName>
      <candidateList>
        <item>(</item>
      </candidateList>
      <explain>文本全半角错误。</explain>
      <paraID>4AF28888</paraID>
      <start>1</start>
      <end>2</end>
      <status>unmodified</status>
      <modifiedWord/>
      <trackRevisions>false</trackRevisions>
    </reviewItem>
    <reviewItem>
      <errorID>7df1803c-73fb-4d82-91d2-2fe77b0482c9</errorID>
      <errorWord>）</errorWord>
      <group>L1_Format</group>
      <groupName>格式问题</groupName>
      <ability>L2_HalfPunc</ability>
      <abilityName>全半角检查</abilityName>
      <candidateList>
        <item>)</item>
      </candidateList>
      <explain>文本全半角错误。</explain>
      <paraID>4AF28888</paraID>
      <start>6</start>
      <end>7</end>
      <status>unmodified</status>
      <modifiedWord/>
      <trackRevisions>false</trackRevisions>
    </reviewItem>
    <reviewItem>
      <errorID>5f0729b8-d016-4576-8a95-b601a6008817</errorID>
      <errorWord>（</errorWord>
      <group>L1_Format</group>
      <groupName>格式问题</groupName>
      <ability>L2_HalfPunc</ability>
      <abilityName>全半角检查</abilityName>
      <candidateList>
        <item>(</item>
      </candidateList>
      <explain>文本全半角错误。</explain>
      <paraID>4AD81D19</paraID>
      <start>2</start>
      <end>3</end>
      <status>unmodified</status>
      <modifiedWord/>
      <trackRevisions>false</trackRevisions>
    </reviewItem>
    <reviewItem>
      <errorID>eace5807-b770-4491-a0cf-1b3eaff7ae00</errorID>
      <errorWord>）</errorWord>
      <group>L1_Format</group>
      <groupName>格式问题</groupName>
      <ability>L2_HalfPunc</ability>
      <abilityName>全半角检查</abilityName>
      <candidateList>
        <item>)</item>
      </candidateList>
      <explain>文本全半角错误。</explain>
      <paraID>4AD81D19</paraID>
      <start>7</start>
      <end>8</end>
      <status>unmodified</status>
      <modifiedWord/>
      <trackRevisions>false</trackRevisions>
    </reviewItem>
    <reviewItem>
      <errorID>332bb0bf-da06-4e24-ab36-40eeab720bf0</errorID>
      <errorWord>（</errorWord>
      <group>L1_Format</group>
      <groupName>格式问题</groupName>
      <ability>L2_HalfPunc</ability>
      <abilityName>全半角检查</abilityName>
      <candidateList>
        <item>(</item>
      </candidateList>
      <explain>文本全半角错误。</explain>
      <paraID> 9EC3C2D</paraID>
      <start>3</start>
      <end>4</end>
      <status>unmodified</status>
      <modifiedWord/>
      <trackRevisions>false</trackRevisions>
    </reviewItem>
    <reviewItem>
      <errorID>31245e44-da99-47ad-8304-c479224b9f05</errorID>
      <errorWord>）（</errorWord>
      <group>L1_Format</group>
      <groupName>格式问题</groupName>
      <ability>L2_HalfPunc</ability>
      <abilityName>全半角检查</abilityName>
      <candidateList>
        <item>)(</item>
      </candidateList>
      <explain>文本全半角错误。</explain>
      <paraID> 9EC3C2D</paraID>
      <start>5</start>
      <end>7</end>
      <status>unmodified</status>
      <modifiedWord/>
      <trackRevisions>false</trackRevisions>
    </reviewItem>
    <reviewItem>
      <errorID>86145e1e-508d-4882-a7df-8b3041813371</errorID>
      <errorWord>）</errorWord>
      <group>L1_Format</group>
      <groupName>格式问题</groupName>
      <ability>L2_HalfPunc</ability>
      <abilityName>全半角检查</abilityName>
      <candidateList>
        <item>)</item>
      </candidateList>
      <explain>文本全半角错误。</explain>
      <paraID> 9EC3C2D</paraID>
      <start>11</start>
      <end>12</end>
      <status>unmodified</status>
      <modifiedWord/>
      <trackRevisions>false</trackRevisions>
    </reviewItem>
    <reviewItem>
      <errorID>c7c5ea02-fa2e-4fdd-acc7-42c9120d37ed</errorID>
      <errorWord>（</errorWord>
      <group>L1_Format</group>
      <groupName>格式问题</groupName>
      <ability>L2_HalfPunc</ability>
      <abilityName>全半角检查</abilityName>
      <candidateList>
        <item>(</item>
      </candidateList>
      <explain>文本全半角错误。</explain>
      <paraID>17B43E3A</paraID>
      <start>2</start>
      <end>3</end>
      <status>unmodified</status>
      <modifiedWord/>
      <trackRevisions>false</trackRevisions>
    </reviewItem>
    <reviewItem>
      <errorID>a3277668-7f15-4c80-be55-3413cec0f7df</errorID>
      <errorWord>）</errorWord>
      <group>L1_Format</group>
      <groupName>格式问题</groupName>
      <ability>L2_HalfPunc</ability>
      <abilityName>全半角检查</abilityName>
      <candidateList>
        <item>)</item>
      </candidateList>
      <explain>文本全半角错误。</explain>
      <paraID>17B43E3A</paraID>
      <start>7</start>
      <end>8</end>
      <status>unmodified</status>
      <modifiedWord/>
      <trackRevisions>false</trackRevisions>
    </reviewItem>
    <reviewItem>
      <errorID>faa15618-1574-4631-92f2-0180b6f342e4</errorID>
      <errorWord>（</errorWord>
      <group>L1_Format</group>
      <groupName>格式问题</groupName>
      <ability>L2_HalfPunc</ability>
      <abilityName>全半角检查</abilityName>
      <candidateList>
        <item>(</item>
      </candidateList>
      <explain>文本全半角错误。</explain>
      <paraID>26EE5CE5</paraID>
      <start>3</start>
      <end>4</end>
      <status>unmodified</status>
      <modifiedWord/>
      <trackRevisions>false</trackRevisions>
    </reviewItem>
    <reviewItem>
      <errorID>ccf5553c-863e-4ef7-89da-cc1409198d79</errorID>
      <errorWord>）</errorWord>
      <group>L1_Format</group>
      <groupName>格式问题</groupName>
      <ability>L2_HalfPunc</ability>
      <abilityName>全半角检查</abilityName>
      <candidateList>
        <item>)</item>
      </candidateList>
      <explain>文本全半角错误。</explain>
      <paraID>26EE5CE5</paraID>
      <start>8</start>
      <end>9</end>
      <status>unmodified</status>
      <modifiedWord/>
      <trackRevisions>false</trackRevisions>
    </reviewItem>
    <reviewItem>
      <errorID>4f24bd6a-5e88-4800-ad56-a75b083c868b</errorID>
      <errorWord>)</errorWord>
      <group>L1_Format</group>
      <groupName>格式问题</groupName>
      <ability>L2_HalfPunc</ability>
      <abilityName>全半角检查</abilityName>
      <candidateList>
        <item>）</item>
      </candidateList>
      <explain>文本全半角错误。</explain>
      <paraID>48E5A490</paraID>
      <start>57</start>
      <end>58</end>
      <status>unmodified</status>
      <modifiedWord/>
      <trackRevisions>false</trackRevisions>
    </reviewItem>
    <reviewItem>
      <errorID>058cf36d-40bd-4e2c-b2cb-602f942066ac</errorID>
      <errorWord>)</errorWord>
      <group>L1_Format</group>
      <groupName>格式问题</groupName>
      <ability>L2_HalfPunc</ability>
      <abilityName>全半角检查</abilityName>
      <candidateList>
        <item>）</item>
      </candidateList>
      <explain>文本全半角错误。</explain>
      <paraID>48E5A490</paraID>
      <start>157</start>
      <end>158</end>
      <status>unmodified</status>
      <modifiedWord/>
      <trackRevisions>false</trackRevisions>
    </reviewItem>
    <reviewItem>
      <errorID>f157363b-54b4-4ea3-8c81-af7308ab1eb6</errorID>
      <errorWord>)</errorWord>
      <group>L1_Format</group>
      <groupName>格式问题</groupName>
      <ability>L2_HalfPunc</ability>
      <abilityName>全半角检查</abilityName>
      <candidateList>
        <item>）</item>
      </candidateList>
      <explain>文本全半角错误。</explain>
      <paraID>48E5A490</paraID>
      <start>184</start>
      <end>185</end>
      <status>unmodified</status>
      <modifiedWord/>
      <trackRevisions>false</trackRevisions>
    </reviewItem>
    <reviewItem>
      <errorID>b4412d55-4ea8-47bc-b813-51a76e980cb2</errorID>
      <errorWord>）</errorWord>
      <group>L1_Format</group>
      <groupName>格式问题</groupName>
      <ability>L2_HalfPunc</ability>
      <abilityName>全半角检查</abilityName>
      <candidateList>
        <item>)</item>
      </candidateList>
      <explain>文本全半角错误。</explain>
      <paraID>4EFB3883</paraID>
      <start>96</start>
      <end>97</end>
      <status>unmodified</status>
      <modifiedWord/>
      <trackRevisions>false</trackRevisions>
    </reviewItem>
    <reviewItem>
      <errorID>c561f094-467c-4114-a0f4-8127c37205a1</errorID>
      <errorWord>，</errorWord>
      <group>L1_Word</group>
      <groupName>字词问题</groupName>
      <ability>L2_Typo</ability>
      <abilityName>字词错误</abilityName>
      <candidateList>
        <item>，以</item>
      </candidateList>
      <explain/>
      <paraID>6D075BFB</paraID>
      <start>56</start>
      <end>57</end>
      <status>unmodified</status>
      <modifiedWord/>
      <trackRevisions>false</trackRevisions>
    </reviewItem>
    <reviewItem>
      <errorID>d5396099-af72-4f1a-b0ff-7aac51a320ea</errorID>
      <errorWord>，至</errorWord>
      <group>L1_Word</group>
      <groupName>字词问题</groupName>
      <ability>L2_Typo</ability>
      <abilityName>字词错误</abilityName>
      <candidateList>
        <item>，</item>
      </candidateList>
      <explain/>
      <paraID> 414A434</paraID>
      <start>27</start>
      <end>28</end>
      <status>modified</status>
      <modifiedWord>，</modifiedWord>
      <trackRevisions>false</trackRevisions>
    </reviewItem>
    <reviewItem>
      <errorID>9c94db77-1a35-4c48-b537-20b8fd9f25f5</errorID>
      <errorWord>程</errorWord>
      <group>L1_Word</group>
      <groupName>字词问题</groupName>
      <ability>L2_Typo</ability>
      <abilityName>字词错误</abilityName>
      <candidateList>
        <item>程中</item>
      </candidateList>
      <explain/>
      <paraID>22BA5EBA</paraID>
      <start>56</start>
      <end>58</end>
      <status>modified</status>
      <modifiedWord>程中</modifiedWord>
      <trackRevisions>false</trackRevisions>
    </reviewItem>
    <reviewItem>
      <errorID>b56f2cc6-8a1d-4a5d-a55a-9e6b40ab575e</errorID>
      <errorWord>则催化剂</errorWord>
      <group>L1_Knowledge</group>
      <groupName>知识性问题</groupName>
      <ability>L2_Term</ability>
      <abilityName>专业术语</abilityName>
      <candidateList>
        <item>酶催化剂</item>
      </candidateList>
      <explain/>
      <paraID>22BA5EBA</paraID>
      <start>118</start>
      <end>122</end>
      <status>unmodified</status>
      <modifiedWord/>
      <trackRevisions>false</trackRevisions>
    </reviewItem>
    <reviewItem>
      <errorID>59b695ec-228b-4a50-b055-a12efcfa7976</errorID>
      <errorWord>-</errorWord>
      <group>L1_Format</group>
      <groupName>格式问题</groupName>
      <ability>L2_HalfPunc</ability>
      <abilityName>全半角检查</abilityName>
      <candidateList>
        <item>－</item>
      </candidateList>
      <explain>文本全半角错误。</explain>
      <paraID>6C6810CD</paraID>
      <start>145</start>
      <end>146</end>
      <status>unmodified</status>
      <modifiedWord/>
      <trackRevisions>false</trackRevisions>
    </reviewItem>
    <reviewItem>
      <errorID>f0d97b17-f1b6-4dd4-bb2a-a65a920edde2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32BD17F7</paraID>
      <start>201</start>
      <end>202</end>
      <status>unmodified</status>
      <modifiedWord/>
      <trackRevisions>false</trackRevisions>
    </reviewItem>
    <reviewItem>
      <errorID>333d5df0-f9a2-4005-bb05-718c7149e030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32BD17F7</paraID>
      <start>240</start>
      <end>241</end>
      <status>unmodified</status>
      <modifiedWord/>
      <trackRevisions>false</trackRevisions>
    </reviewItem>
    <reviewItem>
      <errorID>f2213667-57c2-4632-8f5c-66cc69958f3c</errorID>
      <errorWord>能</errorWord>
      <group>L1_Word</group>
      <groupName>字词问题</groupName>
      <ability>L2_Typo</ability>
      <abilityName>字词错误</abilityName>
      <candidateList>
        <item>能在</item>
      </candidateList>
      <explain/>
      <paraID>382D9511</paraID>
      <start>46</start>
      <end>48</end>
      <status>modified</status>
      <modifiedWord>能在</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c495bc-4e1f-48c6-85fe-a45c4abd783b}">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50</Pages>
  <Words>16847</Words>
  <Characters>18489</Characters>
  <Lines>13</Lines>
  <Paragraphs>3</Paragraphs>
  <TotalTime>9</TotalTime>
  <ScaleCrop>false</ScaleCrop>
  <LinksUpToDate>false</LinksUpToDate>
  <CharactersWithSpaces>18550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PCY</cp:lastModifiedBy>
  <cp:lastPrinted>2026-05-14T02:43:00Z</cp:lastPrinted>
  <dcterms:modified xsi:type="dcterms:W3CDTF">2026-07-29T03:53:28Z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733C835CD6BF49D3A5E09780FAF02F10_13</vt:lpwstr>
  </property>
  <property fmtid="{D5CDD505-2E9C-101B-9397-08002B2CF9AE}" pid="4" name="KSOTemplateDocerSaveRecord">
    <vt:lpwstr>eyJoZGlkIjoiY2IxZGIxMDRmM2VkODA5OTBhZWU0ZGY3MmMzZDJhMGQiLCJ1c2VySWQiOiI1NzI5MTI1MzgifQ==</vt:lpwstr>
  </property>
</Properties>
</file>