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D0B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14:paraId="441DE29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hAnsiTheme="minorHAnsi"/>
          <w:sz w:val="44"/>
          <w:szCs w:val="44"/>
        </w:rPr>
      </w:pPr>
    </w:p>
    <w:p w14:paraId="70DF3D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w:hAnsi="Arial" w:eastAsia="宋体" w:cs="Arial"/>
          <w:b/>
          <w:bCs/>
          <w:i w:val="0"/>
          <w:iCs w:val="0"/>
          <w:caps w:val="0"/>
          <w:color w:val="333333"/>
          <w:spacing w:val="0"/>
          <w:sz w:val="28"/>
          <w:szCs w:val="28"/>
          <w:shd w:val="clear" w:fill="FFFFFF"/>
          <w:lang w:val="en-US" w:eastAsia="zh-CN"/>
        </w:rPr>
      </w:pPr>
      <w:r>
        <w:rPr>
          <w:rFonts w:hint="eastAsia" w:ascii="方正小标宋简体" w:eastAsia="方正小标宋简体" w:hAnsiTheme="minorHAnsi"/>
          <w:sz w:val="44"/>
          <w:szCs w:val="44"/>
        </w:rPr>
        <w:t>关于</w:t>
      </w:r>
      <w:r>
        <w:rPr>
          <w:rFonts w:hint="eastAsia" w:ascii="方正小标宋简体" w:eastAsia="方正小标宋简体" w:hAnsiTheme="minorHAnsi"/>
          <w:sz w:val="44"/>
          <w:szCs w:val="44"/>
          <w:lang w:val="en-US" w:eastAsia="zh-CN"/>
        </w:rPr>
        <w:t>部分检验</w:t>
      </w:r>
      <w:r>
        <w:rPr>
          <w:rFonts w:hint="eastAsia" w:ascii="方正小标宋简体" w:eastAsia="方正小标宋简体" w:hAnsiTheme="minorHAnsi"/>
          <w:sz w:val="44"/>
          <w:szCs w:val="44"/>
        </w:rPr>
        <w:t>项目的说明</w:t>
      </w:r>
    </w:p>
    <w:p w14:paraId="07EB89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73918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黑体" w:hAnsi="黑体" w:eastAsia="黑体" w:cs="黑体"/>
          <w:color w:val="auto"/>
          <w:sz w:val="32"/>
          <w:szCs w:val="32"/>
          <w:lang w:val="en-US" w:eastAsia="zh-CN"/>
        </w:rPr>
        <w:t>一、</w:t>
      </w:r>
      <w:r>
        <w:rPr>
          <w:rFonts w:hint="eastAsia" w:ascii="仿宋_GB2312" w:hAnsi="仿宋_GB2312" w:eastAsia="仿宋_GB2312" w:cs="仿宋_GB2312"/>
          <w:b/>
          <w:bCs/>
          <w:color w:val="000000"/>
          <w:kern w:val="2"/>
          <w:sz w:val="32"/>
          <w:szCs w:val="32"/>
          <w:lang w:val="en-US" w:eastAsia="zh-CN" w:bidi="ar-SA"/>
        </w:rPr>
        <w:t>苯甲酸及其钠盐（以苯甲酸计）</w:t>
      </w:r>
    </w:p>
    <w:p w14:paraId="49955A6B">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苯甲酸及其钠盐是食品工业中常用的一种防腐剂，对霉菌、酵母和细菌有较好的抑制作用。长期食用苯甲酸及其钠盐超标的食品，可能危害人体健康。《食品安全国家标准 食品添加剂使用标准》（GB 2760—2014）、《食品安全国家标准 食品添加剂使用标准》（GB 2760—2024）中规定，豆制品、花生制品中不得使用苯甲酸及其钠盐，碳酸饮料中苯甲酸及其钠盐的最大使用量为0.2g/kg。豆制品、花生制品、碳酸饮料中苯甲酸及其钠盐（以苯甲酸计）检验值超标的原因，可能是企业为延长产品保质期，或弥补生产过程卫生条件不佳而超范围超限量使用。</w:t>
      </w:r>
    </w:p>
    <w:p w14:paraId="17C49D4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spacing w:val="0"/>
          <w:sz w:val="32"/>
          <w:szCs w:val="32"/>
          <w:highlight w:val="none"/>
          <w:u w:val="none"/>
          <w:lang w:val="en-US" w:eastAsia="zh-CN"/>
        </w:rPr>
      </w:pPr>
      <w:r>
        <w:rPr>
          <w:rFonts w:hint="eastAsia" w:ascii="仿宋_GB2312" w:hAnsi="仿宋_GB2312" w:eastAsia="仿宋_GB2312" w:cs="仿宋_GB2312"/>
          <w:b/>
          <w:bCs/>
          <w:color w:val="000000"/>
          <w:kern w:val="2"/>
          <w:sz w:val="32"/>
          <w:szCs w:val="32"/>
          <w:lang w:val="en-US" w:eastAsia="zh-CN" w:bidi="ar-SA"/>
        </w:rPr>
        <w:t>二、</w:t>
      </w:r>
      <w:r>
        <w:rPr>
          <w:rFonts w:hint="eastAsia" w:ascii="仿宋_GB2312" w:hAnsi="仿宋_GB2312" w:eastAsia="仿宋_GB2312" w:cs="仿宋_GB2312"/>
          <w:b/>
          <w:bCs/>
          <w:color w:val="auto"/>
          <w:spacing w:val="0"/>
          <w:sz w:val="32"/>
          <w:szCs w:val="32"/>
          <w:highlight w:val="none"/>
          <w:u w:val="none"/>
          <w:lang w:val="en-US" w:eastAsia="zh-CN"/>
        </w:rPr>
        <w:t>二氧化硫残留量</w:t>
      </w:r>
    </w:p>
    <w:p w14:paraId="5BD2D31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sz w:val="32"/>
          <w:szCs w:val="32"/>
          <w:highlight w:val="none"/>
          <w:u w:val="none"/>
        </w:rPr>
        <w:t>二氧化硫是食品加工中常用的漂白剂和防腐剂，具有漂白、防腐和抗氧化作用。少量二氧化硫进入人体不会对身体造成健康危害，但过量食用会引起如恶心、呕吐等胃肠道反应。</w:t>
      </w:r>
      <w:r>
        <w:rPr>
          <w:rFonts w:hint="eastAsia" w:ascii="仿宋_GB2312" w:hAnsi="仿宋_GB2312" w:eastAsia="仿宋_GB2312" w:cs="仿宋_GB2312"/>
          <w:color w:val="auto"/>
          <w:sz w:val="32"/>
          <w:szCs w:val="32"/>
          <w:highlight w:val="none"/>
          <w:u w:val="none"/>
          <w:lang w:val="en-US" w:eastAsia="zh-CN"/>
        </w:rPr>
        <w:t>《食品安全国家标准 食品添加剂使用标准》（GB 2760—2024）</w:t>
      </w:r>
      <w:r>
        <w:rPr>
          <w:rFonts w:hint="eastAsia" w:ascii="仿宋_GB2312" w:hAnsi="仿宋_GB2312" w:eastAsia="仿宋_GB2312" w:cs="仿宋_GB2312"/>
          <w:color w:val="auto"/>
          <w:sz w:val="32"/>
          <w:szCs w:val="32"/>
          <w:highlight w:val="none"/>
          <w:u w:val="none"/>
        </w:rPr>
        <w:t>中规定，</w:t>
      </w:r>
      <w:r>
        <w:rPr>
          <w:rFonts w:hint="eastAsia" w:ascii="仿宋_GB2312" w:hAnsi="仿宋_GB2312" w:eastAsia="仿宋_GB2312" w:cs="仿宋_GB2312"/>
          <w:color w:val="auto"/>
          <w:sz w:val="32"/>
          <w:szCs w:val="32"/>
          <w:highlight w:val="none"/>
          <w:u w:val="none"/>
          <w:lang w:val="en-US" w:eastAsia="zh-CN"/>
        </w:rPr>
        <w:t>香辛料及粉（八角除外）中不得使用二氧化硫，</w:t>
      </w:r>
      <w:r>
        <w:rPr>
          <w:rFonts w:hint="eastAsia" w:ascii="仿宋_GB2312" w:hAnsi="仿宋_GB2312" w:eastAsia="仿宋_GB2312" w:cs="仿宋_GB2312"/>
          <w:color w:val="auto"/>
          <w:spacing w:val="0"/>
          <w:sz w:val="32"/>
          <w:szCs w:val="32"/>
          <w:highlight w:val="none"/>
          <w:u w:val="none"/>
          <w:lang w:val="en-US" w:eastAsia="zh-CN"/>
        </w:rPr>
        <w:t>干制蔬菜中二氧化硫最大使用量为0.2g/kg，蜜饯中二氧化硫最大使用量为0.35g/kg</w:t>
      </w:r>
      <w:r>
        <w:rPr>
          <w:rFonts w:hint="eastAsia" w:ascii="仿宋_GB2312" w:hAnsi="仿宋_GB2312" w:eastAsia="仿宋_GB2312" w:cs="仿宋_GB2312"/>
          <w:color w:val="auto"/>
          <w:sz w:val="32"/>
          <w:szCs w:val="32"/>
          <w:highlight w:val="none"/>
          <w:u w:val="none"/>
          <w:lang w:val="en-US" w:eastAsia="zh-CN"/>
        </w:rPr>
        <w:t>。香辛料及粉、干制蔬菜、蜜饯中二氧化硫残留量超标的原因，可能是生产企业为改善产品色泽而超范围超限量使用二氧化硫；</w:t>
      </w:r>
      <w:r>
        <w:rPr>
          <w:rFonts w:hint="eastAsia" w:ascii="仿宋_GB2312" w:hAnsi="仿宋_GB2312" w:eastAsia="仿宋_GB2312" w:cs="仿宋_GB2312"/>
          <w:color w:val="auto"/>
          <w:kern w:val="2"/>
          <w:sz w:val="32"/>
          <w:szCs w:val="32"/>
          <w:highlight w:val="none"/>
          <w:u w:val="none"/>
          <w:lang w:val="en-US" w:eastAsia="zh-CN" w:bidi="ar-SA"/>
        </w:rPr>
        <w:t>也可能是使用时不计量或计量不准确；还可能是由于使用硫磺熏蒸漂白传统工艺或直接使用亚硫酸盐浸泡保鲜所造成。</w:t>
      </w:r>
    </w:p>
    <w:p w14:paraId="64B4FFB1">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b/>
          <w:bCs/>
          <w:color w:val="auto"/>
          <w:sz w:val="32"/>
          <w:szCs w:val="32"/>
          <w:highlight w:val="none"/>
          <w:u w:val="none"/>
          <w:lang w:val="en-US" w:eastAsia="zh-CN"/>
        </w:rPr>
      </w:pPr>
      <w:r>
        <w:rPr>
          <w:rFonts w:hint="eastAsia" w:ascii="仿宋_GB2312" w:hAnsi="仿宋_GB2312" w:eastAsia="仿宋_GB2312" w:cs="仿宋_GB2312"/>
          <w:b/>
          <w:bCs/>
          <w:color w:val="auto"/>
          <w:kern w:val="2"/>
          <w:sz w:val="32"/>
          <w:szCs w:val="32"/>
          <w:highlight w:val="none"/>
          <w:u w:val="none"/>
          <w:lang w:val="en-US" w:eastAsia="zh-CN" w:bidi="ar-SA"/>
        </w:rPr>
        <w:t>三、</w:t>
      </w:r>
      <w:r>
        <w:rPr>
          <w:rFonts w:hint="eastAsia" w:ascii="仿宋_GB2312" w:hAnsi="仿宋_GB2312" w:eastAsia="仿宋_GB2312" w:cs="仿宋_GB2312"/>
          <w:b/>
          <w:bCs/>
          <w:color w:val="auto"/>
          <w:sz w:val="32"/>
          <w:szCs w:val="32"/>
          <w:highlight w:val="none"/>
          <w:u w:val="none"/>
          <w:lang w:val="en-US" w:eastAsia="zh-CN"/>
        </w:rPr>
        <w:t>脱氢乙酸及其钠盐（以脱氢乙酸计）</w:t>
      </w:r>
    </w:p>
    <w:p w14:paraId="15EDF9C7">
      <w:pPr>
        <w:keepNext w:val="0"/>
        <w:keepLines w:val="0"/>
        <w:pageBreakBefore w:val="0"/>
        <w:numPr>
          <w:ilvl w:val="0"/>
          <w:numId w:val="0"/>
        </w:numPr>
        <w:kinsoku/>
        <w:wordWrap/>
        <w:overflowPunct/>
        <w:topLinePunct w:val="0"/>
        <w:autoSpaceDE/>
        <w:autoSpaceDN/>
        <w:bidi w:val="0"/>
        <w:adjustRightInd/>
        <w:snapToGrid/>
        <w:spacing w:line="560" w:lineRule="exact"/>
        <w:ind w:firstLineChars="200"/>
        <w:jc w:val="left"/>
        <w:textAlignment w:val="auto"/>
        <w:rPr>
          <w:rFonts w:hint="eastAsia" w:ascii="仿宋_GB2312" w:hAnsi="仿宋_GB2312" w:eastAsia="仿宋_GB2312" w:cs="仿宋_GB2312"/>
          <w:color w:val="auto"/>
          <w:spacing w:val="0"/>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脱氢乙酸及其钠盐作为一种广谱食品防腐剂，对霉菌和酵母菌的抑制能力强。脱氢乙酸毒性较低，按标准规定的范围和使用量使用是安全的。脱氢乙酸及其钠盐能被人体完全吸收，并能抑制人体内多种氧化酶，长期过量摄入脱氢乙酸及其钠盐会危害人体健康。《食品安全国家标准 食品添加剂使用标准》（GB 2760—2024）中规定，腌渍的蔬菜中脱氢乙酸及其钠盐最大使用量为0.3g/kg。腌渍的蔬菜中脱氢乙酸及其钠盐（以脱氢乙酸计）检验值超标的原因，可能是</w:t>
      </w:r>
      <w:r>
        <w:rPr>
          <w:rFonts w:hint="eastAsia" w:ascii="仿宋_GB2312" w:hAnsi="仿宋_GB2312" w:eastAsia="仿宋_GB2312" w:cs="仿宋_GB2312"/>
          <w:color w:val="auto"/>
          <w:sz w:val="32"/>
          <w:szCs w:val="32"/>
          <w:highlight w:val="none"/>
          <w:u w:val="none"/>
        </w:rPr>
        <w:t>企业为延长产品保质期</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或者弥补产品生产过程中卫生条件不佳而</w:t>
      </w:r>
      <w:r>
        <w:rPr>
          <w:rFonts w:hint="eastAsia" w:ascii="仿宋_GB2312" w:hAnsi="仿宋_GB2312" w:eastAsia="仿宋_GB2312" w:cs="仿宋_GB2312"/>
          <w:color w:val="auto"/>
          <w:sz w:val="32"/>
          <w:szCs w:val="32"/>
          <w:highlight w:val="none"/>
          <w:u w:val="none"/>
          <w:lang w:val="en-US" w:eastAsia="zh-CN"/>
        </w:rPr>
        <w:t>超限量</w:t>
      </w:r>
      <w:r>
        <w:rPr>
          <w:rFonts w:hint="eastAsia" w:ascii="仿宋_GB2312" w:hAnsi="仿宋_GB2312" w:eastAsia="仿宋_GB2312" w:cs="仿宋_GB2312"/>
          <w:color w:val="auto"/>
          <w:sz w:val="32"/>
          <w:szCs w:val="32"/>
          <w:highlight w:val="none"/>
          <w:u w:val="none"/>
        </w:rPr>
        <w:t>使用</w:t>
      </w:r>
      <w:r>
        <w:rPr>
          <w:rFonts w:hint="eastAsia" w:ascii="仿宋_GB2312" w:hAnsi="仿宋_GB2312" w:eastAsia="仿宋_GB2312" w:cs="仿宋_GB2312"/>
          <w:color w:val="auto"/>
          <w:kern w:val="2"/>
          <w:sz w:val="32"/>
          <w:szCs w:val="32"/>
          <w:highlight w:val="none"/>
          <w:u w:val="none"/>
          <w:lang w:val="en-US" w:eastAsia="zh-CN" w:bidi="ar-SA"/>
        </w:rPr>
        <w:t>；也可能是在添加过程中未准确计</w:t>
      </w:r>
      <w:bookmarkStart w:id="0" w:name="_GoBack"/>
      <w:bookmarkEnd w:id="0"/>
      <w:r>
        <w:rPr>
          <w:rFonts w:hint="eastAsia" w:ascii="仿宋_GB2312" w:hAnsi="仿宋_GB2312" w:eastAsia="仿宋_GB2312" w:cs="仿宋_GB2312"/>
          <w:color w:val="auto"/>
          <w:kern w:val="2"/>
          <w:sz w:val="32"/>
          <w:szCs w:val="32"/>
          <w:highlight w:val="none"/>
          <w:u w:val="none"/>
          <w:lang w:val="en-US" w:eastAsia="zh-CN" w:bidi="ar-SA"/>
        </w:rPr>
        <w:t>量。</w:t>
      </w:r>
    </w:p>
    <w:p w14:paraId="0E08A72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2"/>
          <w:sz w:val="32"/>
          <w:szCs w:val="32"/>
          <w:highlight w:val="none"/>
          <w:u w:val="none"/>
          <w:lang w:val="en-US" w:eastAsia="zh-CN" w:bidi="ar-SA"/>
        </w:rPr>
      </w:pPr>
    </w:p>
    <w:p w14:paraId="6E85B519">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kern w:val="2"/>
          <w:sz w:val="32"/>
          <w:szCs w:val="32"/>
          <w:lang w:val="en-US" w:eastAsia="zh-CN" w:bidi="ar-SA"/>
        </w:rPr>
      </w:pPr>
    </w:p>
    <w:sectPr>
      <w:footerReference r:id="rId3" w:type="default"/>
      <w:footerReference r:id="rId4" w:type="even"/>
      <w:pgSz w:w="11906" w:h="16838"/>
      <w:pgMar w:top="1701"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11CD">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78435" cy="20447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78435" cy="204470"/>
                      </a:xfrm>
                      <a:prstGeom prst="rect">
                        <a:avLst/>
                      </a:prstGeom>
                      <a:noFill/>
                      <a:ln w="9525">
                        <a:noFill/>
                      </a:ln>
                      <a:effectLst/>
                    </wps:spPr>
                    <wps:txbx>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6.1pt;width:14.05pt;mso-position-horizontal:outside;mso-position-horizontal-relative:margin;mso-wrap-style:none;z-index:251659264;mso-width-relative:page;mso-height-relative:page;" filled="f" stroked="f" coordsize="21600,21600" o:gfxdata="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boh9EAAAADAQAADwAAAAAAAAAB&#10;ACAAAAAiAAAAZHJzL2Rvd25yZXYueG1sUEsBAhQAFAAAAAgAh07iQF1Db8/eAQAArgMAAA4AAAAA&#10;AAAAAQAgAAAAIAEAAGRycy9lMm9Eb2MueG1sUEsFBgAAAAAGAAYAWQEAAHAFAAAAAA==&#10;">
              <v:fill on="f" focussize="0,0"/>
              <v:stroke on="f"/>
              <v:imagedata o:title=""/>
              <o:lock v:ext="edit" aspectratio="f"/>
              <v:textbox inset="0mm,0mm,0mm,0mm" style="mso-fit-shape-to-text:t;">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5EAC">
    <w:pPr>
      <w:pStyle w:val="5"/>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C916E0">
                          <w:pPr>
                            <w:pStyle w:val="5"/>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7FC916E0">
                    <w:pPr>
                      <w:pStyle w:val="5"/>
                    </w:pPr>
                    <w:r>
                      <w:fldChar w:fldCharType="begin"/>
                    </w:r>
                    <w:r>
                      <w:instrText xml:space="preserve">PAGE  </w:instrText>
                    </w:r>
                    <w:r>
                      <w:fldChar w:fldCharType="separate"/>
                    </w:r>
                    <w:r>
                      <w:t>44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DZiNTQ5NmQwNDRjYzZhOThkNWVjM2E1YmU3ZWU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F7E3BD5"/>
    <w:rsid w:val="136A099C"/>
    <w:rsid w:val="16EF4AC1"/>
    <w:rsid w:val="19791FAC"/>
    <w:rsid w:val="1C605AF7"/>
    <w:rsid w:val="1C7323BF"/>
    <w:rsid w:val="1D1364AB"/>
    <w:rsid w:val="1D435A2B"/>
    <w:rsid w:val="20132BAC"/>
    <w:rsid w:val="20590CC0"/>
    <w:rsid w:val="20967991"/>
    <w:rsid w:val="212352F4"/>
    <w:rsid w:val="212C4B06"/>
    <w:rsid w:val="25347E29"/>
    <w:rsid w:val="2F223112"/>
    <w:rsid w:val="303D73F1"/>
    <w:rsid w:val="32943976"/>
    <w:rsid w:val="35B410F2"/>
    <w:rsid w:val="3D437B38"/>
    <w:rsid w:val="3F116319"/>
    <w:rsid w:val="3FF7D545"/>
    <w:rsid w:val="43D309EF"/>
    <w:rsid w:val="44CA67CA"/>
    <w:rsid w:val="48284A9B"/>
    <w:rsid w:val="48D17AF5"/>
    <w:rsid w:val="496E39C3"/>
    <w:rsid w:val="4CA14D3B"/>
    <w:rsid w:val="4CFE58D4"/>
    <w:rsid w:val="50251217"/>
    <w:rsid w:val="504371AE"/>
    <w:rsid w:val="544C6C2B"/>
    <w:rsid w:val="5AD36B10"/>
    <w:rsid w:val="5D6D55FB"/>
    <w:rsid w:val="5E466CA1"/>
    <w:rsid w:val="60A045C4"/>
    <w:rsid w:val="62847247"/>
    <w:rsid w:val="6473123C"/>
    <w:rsid w:val="65E43AE0"/>
    <w:rsid w:val="663C637F"/>
    <w:rsid w:val="671A272D"/>
    <w:rsid w:val="67BC540F"/>
    <w:rsid w:val="689E0973"/>
    <w:rsid w:val="69F75AD9"/>
    <w:rsid w:val="6D123CB9"/>
    <w:rsid w:val="709D03ED"/>
    <w:rsid w:val="71DD22F7"/>
    <w:rsid w:val="72C00ECF"/>
    <w:rsid w:val="74085358"/>
    <w:rsid w:val="77C47AB5"/>
    <w:rsid w:val="78F053E4"/>
    <w:rsid w:val="7D8F6D5C"/>
    <w:rsid w:val="7D9A404F"/>
    <w:rsid w:val="7E906943"/>
    <w:rsid w:val="7EB47D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autoRedefine/>
    <w:qFormat/>
    <w:uiPriority w:val="0"/>
  </w:style>
  <w:style w:type="paragraph" w:styleId="4">
    <w:name w:val="Body Text Indent"/>
    <w:basedOn w:val="1"/>
    <w:unhideWhenUsed/>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1"/>
    <w:qFormat/>
    <w:uiPriority w:val="0"/>
    <w:pPr>
      <w:adjustRightInd w:val="0"/>
      <w:ind w:left="0" w:leftChars="0" w:firstLine="880" w:firstLineChars="200"/>
    </w:pPr>
    <w:rPr>
      <w:rFonts w:ascii="Calibri" w:hAnsi="Calibri" w:eastAsia="仿宋" w:cs="Times New Roman"/>
      <w:sz w:val="32"/>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6"/>
    <w:autoRedefine/>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7"/>
    <w:qFormat/>
    <w:uiPriority w:val="99"/>
    <w:rPr>
      <w:rFonts w:ascii="微软雅黑" w:hAnsi="微软雅黑" w:eastAsia="微软雅黑" w:cs="宋体"/>
      <w:sz w:val="24"/>
      <w:szCs w:val="24"/>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2</Pages>
  <Words>811</Words>
  <Characters>865</Characters>
  <Lines>3</Lines>
  <Paragraphs>1</Paragraphs>
  <TotalTime>1</TotalTime>
  <ScaleCrop>false</ScaleCrop>
  <LinksUpToDate>false</LinksUpToDate>
  <CharactersWithSpaces>873</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2017-12-07T01:14:00Z</dcterms:created>
  <dc:creator>小烦</dc:creator>
  <cp:lastModifiedBy>hanzhong</cp:lastModifiedBy>
  <cp:lastPrinted>2025-07-07T16:20:00Z</cp:lastPrinted>
  <dcterms:modified xsi:type="dcterms:W3CDTF">2026-11-03T12:59:51Z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9926A1D77D644EF49E08C985E9438146_13</vt:lpwstr>
  </property>
  <property fmtid="{D5CDD505-2E9C-101B-9397-08002B2CF9AE}" pid="4" name="KSOTemplateDocerSaveRecord">
    <vt:lpwstr>eyJoZGlkIjoiMmU5MGIwN2EyYzhlODFhM2MyNTNhZTM4ZDk1NDM4NTkiLCJ1c2VySWQiOiI0MDc0ODc0NTkifQ==</vt:lpwstr>
  </property>
</Properties>
</file>